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ATAS/69/2018 vom 29. Januar 2018</w:t>
      </w:r>
    </w:p>
    <w:p>
      <w:r>
        <w:t>GE Cour de justice, 2018-01-29, FR</w:t>
      </w:r>
    </w:p>
    <w:p>
      <w:r>
        <w:rPr>
          <w:b/>
        </w:rPr>
        <w:t xml:space="preserve">Quelle: </w:t>
      </w:r>
      <w:r>
        <w:t>https://mcp.opencaselaw.ch/entscheid/ge_gerichte_ATAS_69_2018</w:t>
      </w:r>
    </w:p>
    <w:p>
      <w:r>
        <w:t>FR: GE_GERICHTE ATAS/69/2018 du 29 janvier 2018</w:t>
      </w:r>
    </w:p>
    <w:p>
      <w:r>
        <w:t>IT: GE_GERICHTE ATAS/69/2018 del 29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A/4388/2016 - 10/15 -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La question litigieuse est de savoir si le recourant a droit à des prestations d’invalidité en raison de ses atteintes à la santé.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gains toute diminution de l'ensemble ou d'une partie des possibilités de gains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gains. De plus, il n’y a incapacité de gain que si celle- 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gains de l’assuré (arrêt du Tribunal fédéral des assurances I.654/00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A/4388/2016 - 11/15 -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t>A/4388/2016 - 12/15 -</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l'intimé estime que le recourant a présenté une incapacité de travail limitée d'août 2015 à février 2016, ce que ce dernier conteste. Selon l'avis du SMR du 10 novembre 2016 et l'intimé, l'existence d'une capacité de travail entière dès le début 2016 se justifie notamment par la décision prise par l'assureur-accidents. On rappellera que l'évaluation de l'invalidité par les organes de l'assurance- accidents n'a pas de force contraignante pour l'assurance-invalidité (ATF 133 V 549 consid. 6). Le Tribunal fédéral des assurances a en outre jugé que les organes de l'assurance-invalidité et ceux de l'assurance-accidents sont tenus de procéder dans chaque cas de manière indépendante à l'évaluation de l'invalidité, les uns ou les autres ne pouvant se contenter de reprendre simplement et sans avoir effectué leur</w:t>
      </w:r>
    </w:p>
    <w:p>
      <w:r>
        <w:t>A/4388/2016 - 13/15 - propre examen le degré d'invalidité fixé par l'autre assureur (ATF 126 V 288 consid. 3d). En l'espèce, au vu de la jurisprudence précitée, l'intimé ne pouvait se contenter de reprendre l'évaluation de la capacité de travail effectuée par l'assureur-accidents, ce d'autant plus qu'aucune décision entrée en force n'a encore été rendue par cet assureur. Il y a donc lieu de déterminer si les rapports versés à la procédure permettent de retenir que le recourant présentait une capacité de travail entière dès mars 2016. Le Dr E______ de la CRR a certes indiqué, dans son rapport du 9 décembre 2015, que la capacité de travail du recourant dans sa profession de responsable de fabrication dans l'horlogerie était nulle jusqu'au 31 décembre 2015 et qu'une reprise médico-théorique était à prévoir début 2016. La chambre de céans constate que ce médecin n'a toutefois pas indiqué que la capacité de travail du recourant serait entière dès le début 2016. Qui plus est, ce médecin a relevé que la situation du recourant n'était pas encore stabilisée, du point de vue médical et des aptitudes fonctionnelles, et qu'une stabilisation médicale était attendue dès le début 2016. Ainsi, vu l'hypothétique stabilisation médicale avancée par le Dr E______, il revenait à l'intimé d'instruire la question de savoir si l'état de santé du recourant s'était effectivement amélioré postérieurement au 31 décembre 2015 et quelle était, le cas échéant, sa capacité de travail. A cet égard, on relèvera que l'intimé a été dûment informé que le recourant était suivi par un spécialiste en chirurgie de la main, soit le Dr F______ (rapport du Dr C______ du 24 juin 2016). Or, force est de constater qu'avant de rendre sa décision litigieuse, l'intimé n'a requis aucune information auprès de ce spécialiste. Par ailleurs, le rapport du Dr D______ du 27 avril 2016 ne permet pas non plus de retenir que le recourant présentait une capacité de travail totale dans son activité habituelle à compter du début de l'année 2016. En effet, il résulte de ce rapport que ce médecin s'est uniquement prononcé sur le lien de causalité entre les troubles du recourant et l'accident survenu le 9 août 2015. Enfin, il apparaît que le 14 septembre 2016 - soit antérieurement à la date de la décision litigieuse - le recourant présentait encore une tuméfaction du tendon du muscle extenseur ulnaire du carpe qui était subluxé, une augmentation de l'espace radio-ulnaire, un index radio-cubital augmenté et une déchirure du TFCC nécessitant une intervention chirurgicale complexe (rapport du Dr H______ du 20 septembre 2016). Ainsi, comme l'a dûment relevé le SMR dans son avis du 10 janvier 2017, il apparaît que la situation médicale du recourant n'était pas encore stabilisée au moment où l'intimé a rendu sa décision litigieuse. Partant, les rapports versés à la procédure ne permettent pas d'établir, au degré de la vraisemblance prépondérante, les atteintes dont le recourant souffrait postérieurement au mois de février 2016 et</w:t>
      </w:r>
    </w:p>
    <w:p>
      <w:r>
        <w:t>A/4388/2016 - 14/15 - leurs éventuelles répercussions sur sa capacité de travail dans son activité habituelle et, le cas échéant, dans une activité adaptée. Enfin, on relèvera encore que l'intimé n'a requis, ni de l'employeur auquel le recourant était contractuellement lié au début de son incapacité de travail totale, ni du dernier employeur, une description de la fonction du recourant en termes de port de charges, de travaux de force et d'activités nécessitant des mouvements répétitifs du poignet droit. Compte tenu de ce qui précède, à défaut d'informations fiables et suffisantes sur les atteintes dont souffrait le recourant postérieurement au mois de février 2016 et leurs répercussions éventuelles sur sa capacité de travail, la chambre de céans n’est pas en mesure d’apprécier de manière adéquate sa situation médicale. Il convient dès lors de renvoyer la cause à l'intimé pour instruction médicale complémentaire, sous la forme d'une expertise effectuée par un chirurgien de la main indépendant. Les conditions jurisprudentielles d'un renvoi à l'administration sont d'autant plus remplies qu'aucune expertise n'a été mise en œuvre par l'intimé.</w:t>
      </w:r>
    </w:p>
    <w:p>
      <w:r>
        <w:rPr>
          <w:b/>
        </w:rPr>
        <w:t>E. 10</w:t>
      </w:r>
    </w:p>
    <w:p>
      <w:r>
        <w:t>Le recours sera donc admis partiellement et la décision querellée annulée. La cause sera renvoyée à l'intimé pour instruction complémentaire auprès d'un chirurgien de la main indépendant et nouvelle décision.</w:t>
      </w:r>
    </w:p>
    <w:p>
      <w:r>
        <w:rPr>
          <w:b/>
        </w:rPr>
        <w:t>E. 11</w:t>
      </w:r>
    </w:p>
    <w:p>
      <w:r>
        <w:t>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12</w:t>
      </w:r>
    </w:p>
    <w:p>
      <w:r>
        <w:t>Etant donné que, depuis le 1er juillet 2006, la procédure n'est plus gratuite (art. 69 al. 1bis LAI), au vu du sort du recours, il y a lieu de condamner l'intimé au paiement d'un émolument de CHF 200.-.</w:t>
      </w:r>
    </w:p>
    <w:p>
      <w:r>
        <w:t>A/4388/2016 - 15/15 -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