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ATAS/69/2017 vom 31. Januar 2017</w:t>
      </w:r>
    </w:p>
    <w:p>
      <w:r>
        <w:t>GE Cour de justice, 2017-01-31, FR</w:t>
      </w:r>
    </w:p>
    <w:p>
      <w:r>
        <w:rPr>
          <w:b/>
        </w:rPr>
        <w:t xml:space="preserve">Quelle: </w:t>
      </w:r>
      <w:r>
        <w:t>https://mcp.opencaselaw.ch/entscheid/ge_gerichte_ATAS_69_2017</w:t>
      </w:r>
    </w:p>
    <w:p>
      <w:r>
        <w:t>FR: GE_GERICHTE ATAS/69/2017 du 31 janvier 2017</w:t>
      </w:r>
    </w:p>
    <w:p>
      <w:r>
        <w:t>IT: GE_GERICHTE ATAS/69/2017 del 31 gennaio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w:t>
      </w:r>
    </w:p>
    <w:p>
      <w:r>
        <w:t>A/1107/2016 - 14/28 -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Déposé le 11 avril 2016, le présent recours a été interjeté en temps utile, étant précisé que le délai de recours a commencé à courir le lendemain de la notification de la décision attaquée, intervenue le 26 février 2016, et est arrivé à échéance le lundi 11 avril 2016, compte tenu de la suspension des délais de recours du 7e jour avant Pâques au 7e jour après Pâques inclusivement (art. 38 al. 4 let. a LPGA et 89C let. a LPA). Il satisfait, par ailleurs, aux exigences de forme et de contenu prescrites par l’art. 61 let. b LPGA (cf. aussi art. 89B LPA). Enfin, touché par ladite décision et ayant un intérêt digne de protection à son annulation ou sa modification, le recourant a qualité pour recourir contre cette décision (art. 59 LPGA). c. Le présent recours sera donc déclaré recevable.</w:t>
      </w:r>
    </w:p>
    <w:p>
      <w:r>
        <w:rPr>
          <w:b/>
        </w:rPr>
        <w:t>E. 2</w:t>
      </w:r>
    </w:p>
    <w:p>
      <w:r>
        <w:t>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112 V 360 consid. 4a; RAMA 1998 KV 37 p. 316 consid. 3b]). Les faits pertinents dans la présente affaire se sont produits entre 2010 et 2016, soit sous l'empire de la LAI dans ses versions antérieure et actuelle (pour mémoire, les trois dernières révisions de la LAI, des 21 mars 2003 [4ème révision], 6 octobre 2006 [5ème révision] et 18 mars 2011 [révision dite 6a], sont entrées en vigueur respectivement les 1er janvier 2004, 1er janvier 2008 et 1er janvier 2012). Le droit éventuel aux prestations doit donc être examiné en l'espèce au regard du droit en vigueur au moment où les faits pertinents se sont produits (ATF 130 V 445 et les références; voir également ATF 130 V 329). Il sied cependant de noter que les trois révisions précitées n'ont pas amené de modifications substantielles sur les sujets pertinents dans la présente affaire, en particulier sur la notion d'invalidité et le cas échéant la manière d'évaluer l'invalidité (arrêt du Tribunal fédéral I.249/05 du</w:t>
      </w:r>
    </w:p>
    <w:p>
      <w:r>
        <w:t>A/1107/2016 - 15/28 - 11 juillet 2006 consid. 2.1 et Message concernant la modification de la loi fédérale sur l'assurance-invalidité du 22 juin 2005, FF 2005 p. 4322). Par ailleurs, les dispositions de la LPGA s'appliquent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décision attaquée nie, dans le cadre d’une nouvelle demande de prestations, le droit du recourant à une rente d’invalidité et à des mesures professionnelles. Le litige porte donc sur la question de savoir si une aggravation de l’état de santé du recourant est apparue depuis la décision du 17 décembre 2010, octroyant une rente entière limitée du 1er décembre 2009 au 31 mai 2010, et dans l’affirmative, si cette aggravation influence son droit aux prestations. Subsidiairement, il porte sur le point de savoir si le recourant a droit à des mesures de réadaptation professionnelle.</w:t>
      </w:r>
    </w:p>
    <w:p>
      <w:r>
        <w:rPr>
          <w:b/>
        </w:rPr>
        <w:t>E. 4</w:t>
      </w:r>
    </w:p>
    <w:p>
      <w:r>
        <w:t>a.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b.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(arrêts du Tribunal fédéral I.406/05 du 13 juillet 2006 consid. 4.1 et I.559/02 du 31 janvier 2003 consid. 3.2 et les arrêts cités).</w:t>
      </w:r>
    </w:p>
    <w:p>
      <w:r>
        <w:t>A/1107/2016 - 16/28 - c.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du Tribunal fédéral I.269/97 du 24 février 1998, in SVR 1999 IV n. 21 p. 64; cf. aussi ATF 117 V 198 consid. 4b). Au contraire, l'administration - et en cas de recours le juge - est tenue d'examiner de manière étendue sous l'angle des faits et du droit une nouvelle demande de prestations portant sur une prétention différente de celle qui a fait l'objet de la décision de refus antérieure.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admis, il y a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w:t>
      </w:r>
    </w:p>
    <w:p>
      <w:r>
        <w:t>A/1107/2016 - 17/28 -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I.237/04 du 30 novembre 2004 consid. 4.2).</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A/1107/2016 - 18/28 -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arrêt du Tribunal fédéral 9C_323/2009 du 14 juillet 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9C_25/2015 du 1er mai 2015 consid. 4.1; 9C_578/2009 du 29 décembre 2009 consid. 3.2 in fine).</w:t>
      </w:r>
    </w:p>
    <w:p>
      <w:r>
        <w:t>A/1107/2016 - 19/28 -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l’administration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il convient d’examiner si l’état de santé du recourant s’est péjoré depuis l’octroi d’une rente entière limitée du 1er décembre 2009 au 31 mai 2010, date à compter de laquelle le degré d’invalidité du recourant était alors fixé à 5.4%. Pour ce faire, il y a lieu de comparer les faits tels qu’ils se présentaient lors de la décision du 17 décembre 2010 à ceux prévalant au moment de la décision querellée du 17 février 2016.</w:t>
      </w:r>
    </w:p>
    <w:p>
      <w:r>
        <w:rPr>
          <w:b/>
        </w:rPr>
        <w:t>E. 11</w:t>
      </w:r>
    </w:p>
    <w:p>
      <w:r>
        <w:t>a. En 2010, l’intimé avait accordé une rente limitée, au motif que si le recourant était certes totalement incapable de travailler dans son activité habituelle de manutentionnaire depuis le 21 juillet 2008, date de son accident, il avait recouvré,</w:t>
      </w:r>
    </w:p>
    <w:p>
      <w:r>
        <w:t>A/1107/2016 - 20/28 - dès février 2010, une pleine capacité de travail dans une activité adaptée, respectant ses limitations fonctionnelles. Pour parvenir à cette conclusion, l’intimé se basait sur l’avis du SMR du 3 mars 2010, ainsi que sur le rapport de la SUVA du 17 février 2010, lesquels se ralliaient aux conclusions du rapport de la CRR du</w:t>
      </w:r>
    </w:p>
    <w:p>
      <w:r>
        <w:rPr>
          <w:b/>
        </w:rPr>
        <w:t>E. 15</w:t>
      </w:r>
    </w:p>
    <w:p>
      <w:r>
        <w:t>Sur le vu de ce qui précède, eu égard à la diminution de force du poignet gauche, à l’état inflammatoire chronique au niveau de la coiffe des rotateurs de l’épaule droite, au trouble psychiatrique, ainsi qu’à la maladie coronarienne, et compte tenu du défaut d’informations fiables et suffisantes sur l’aggravation de l’état de santé, sur les limitations fonctionnelles que ces atteintes entraînent, sur le taux de capacité de travail dans une activité adaptée, sur l’existence d’une éventuelle baisse de rendement, sur la date à partir de laquelle une telle activité serait exigible, la chambre de céans n’est pas en mesure de trancher le litige. Partant, l’avis du SMR du 31 mars 2015 est écarté, ne reposant pas sur des éléments médicaux probants pour permettre de déterminer le degré d’invalidité du recourant. Il convient dès lors de renvoyer la cause à l’intimé pour instruction complémentaire sous la forme d’une expertise pluridisciplinaire, laquelle comprendra, au vu des considérations précitées, des volets orthopédique, psychiatrique et cardiologique. Un renvoi se justifie d’autant plus qu’aucune expertise pluridisciplinaire n’avait été diligentée par l’intimé. Au vu des lacunes du dossier, et des différentes atteintes, l’expertise que l’intimé mettra en œuvre devra décrire quelle a été l’évolution de l’état de santé du recourant depuis le 17 février 2010, date de la première décision, et analyser globalement la capacité de travail du recourant (soit les éventuelles interactions entre les différentes pathologies), puis poser des conclusions communes.</w:t>
      </w:r>
    </w:p>
    <w:p>
      <w:r>
        <w:rPr>
          <w:b/>
        </w:rPr>
        <w:t>E. 16</w:t>
      </w:r>
    </w:p>
    <w:p>
      <w:r>
        <w:t>Reste encore à examiner si le recourant a droit à des mesures d’ordre professionnel.</w:t>
      </w:r>
    </w:p>
    <w:p>
      <w:r>
        <w:t>A/1107/2016 - 25/28 -</w:t>
      </w:r>
    </w:p>
    <w:p>
      <w:r>
        <w:rPr>
          <w:b/>
        </w:rPr>
        <w:t>E. 17</w:t>
      </w:r>
    </w:p>
    <w:p>
      <w:r>
        <w:t>Selon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w:t>
      </w:r>
    </w:p>
    <w:p>
      <w:r>
        <w:rPr>
          <w:b/>
        </w:rPr>
        <w:t>E. 18</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215consid. 3.2.2 et les références). Celles-ci ne seront pas allouées si elles sont vouées à l'échec, selon toute vraisemblance (arrêt du Tribunal fédéral I.388/06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w:t>
      </w:r>
    </w:p>
    <w:p>
      <w:r>
        <w:t>A/1107/2016 - 26/28 - réadaptation (arrêt du Tribunal fédéral I.605/04 du 11 janvier 2005 consid. 2 et les références, publié in SVR 2005 IV n. 30 p. 113; voir également les arrêts du Tribunal fédéral I.265/05 du 3 octobre 2005 consid. 4; et I.485/04 du 16 décembre 2004 consid. 6.1).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19</w:t>
      </w:r>
    </w:p>
    <w:p>
      <w:r>
        <w:t>Il n'existe pas un droit inconditionnel à obtenir une mesure professionnelle (voir par ex. l'arrêt du Tribunal fédéral 9C_385/2009 du 13 octobre 2009).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20</w:t>
      </w:r>
    </w:p>
    <w:p>
      <w:r>
        <w:t>En l’espèce, le recourant soutient, en substance, qu'il était motivé à suivre une formation, bien qu’il ait refusé la mesure IPT, et que l'intimé n'avait pas respecté la sommation légale avant de clôturer le mandat de réadaptation. Pour sa part, l'intimé expose que le recourant n'avait avancé aucun motif excusable pour refuser la mesure IPT proposée.</w:t>
      </w:r>
    </w:p>
    <w:p>
      <w:r>
        <w:rPr>
          <w:b/>
        </w:rPr>
        <w:t>E. 21</w:t>
      </w:r>
    </w:p>
    <w:p>
      <w:r>
        <w:t>On rappellera que, compte tenu des développements qui précèdent, la chambre de céans n’est pas en mesure, en l’état, d’évaluer le degré d’invalidité du recourant, de sorte qu’il serait prématuré de reconnaître ou de nier le droit à une mesure de reclassement dans une nouvelle profession. S’agissant des autres mesures d’ordre professionnel, on relèvera que le mandat de réadaptation consistant en une mesure IPT a été clôturé en juin 2015 lorsque le recourant a confirmé qu’il ne souhaitait pas la suivre. Or, le recourant avait, lors de son entretien du 12 novembre 2014 avec l’intimé, manifesté sa volonté de recevoir une aide pour une reconversion. Il avait, à cette occasion, indiqué qu’il suivait des cours d’anglais à l’Ecole-Club Migros au moyen d’un chèque-formation, mais qu’il ne disposait pas de moyens suffisants pour poursuivre une formation approfondie. Il a, de plus, spécifié qu’il préférait bénéficier d’une formation plutôt que d’une mesure IPT. Quand bien même un assuré doit se soumettre à toutes les mesures d’instruction, de réadaptation et de nouvelle réadaptation ordonnées, si elles sont raisonnablement exigibles, et participer activement à sa réadaptation (Circulaire sur les mesures de réadaptation d’ordre professionnel, office fédéral des assurances sociales, n. 1008), force est de</w:t>
      </w:r>
    </w:p>
    <w:p>
      <w:r>
        <w:t>A/1107/2016 - 27/28 - constater que, sur le plan subjectif, le recourant désirait bénéficier d’une mesure de réadaptation. Cela étant, encore faut-il que la mesure préconisée soit objectivement appropriée au but de la réadaptation poursuivi et qu’elle ne soit pas vouée à l’échec. À cet égard, on constate que le Dr F______ en 2010 avait mentionné que la réinsertion professionnelle pouvait s’avérer difficile en raison des nombreuses plaintes subjectives du recourant, et du diagnostic posés sur le plan psychiatrique. En 2014, le Dr H______ notait, quant à lui, que les réactions impulsives et le sentiment d’être agressé rendaient difficile les relations professionnelles. Le psychiatre avait toutefois ajouté qu'il recommandait des mesures de réinsertion professionnelles progressives, et que le suivi psychiatrique pouvait réduire les symptômes d'ordre psychiatrique. Le recourant avait également annoncé à l’intimé qu’il ne commencerait pas la mesure IPT « pour des questions de santé » (cf. note de l’intimé du 15 juin 2015). Il n’est pas clair de savoir si une mesure professionnelle (reclassement ou autre) pourrait être menée à bien. Aucune des pièces médicales versées au dossier n'examine la question de savoir si la mesure de réadaptation préconisée est ou non raisonnablement exigible de la part du recourant sur les plans somatique et psychologique, ni, le cas échéant, s'il convient d'en attendre une amélioration déterminante de la capacité de gain de celui-ci. En tout état de cause, l’intimé, avant de clôturer le mandat de réadaptation, n’a pas formellement mis le recourant en demeure, ce qui constitue une violation du droit fédéral. La cause sera dès lors renvoyée à l’intimé sur ce point également, afin qu’il examine concrètement si toutes les conditions (maintien ou amélioration de la capacité de gain, pronostic sur les chances de succès) du droit éventuel à des mesures d’ordre professionnel (reclassement ou une autre mesure) sont réunies. Ensuite, s’il apparaissait qu’une mesure d’ordre professionnel pourrait être accordée, l’intimé devrait au besoin procéder à la sommation légale prévue à l'art. 21 al. 4 LPGA.</w:t>
      </w:r>
    </w:p>
    <w:p>
      <w:r>
        <w:rPr>
          <w:b/>
        </w:rPr>
        <w:t>E. 22</w:t>
      </w:r>
    </w:p>
    <w:p>
      <w:r>
        <w:t>Au vu de ce qui précède, le recours est partiellement admis, la décision querellée annulée, et le dossier renvoyé à l’intimé afin qu’il procède conformément aux considérants.</w:t>
      </w:r>
    </w:p>
    <w:p>
      <w:r>
        <w:rPr>
          <w:b/>
        </w:rPr>
        <w:t>E. 23</w:t>
      </w:r>
    </w:p>
    <w:p>
      <w:r>
        <w:t>La procédure de recours en matière de contestations portant sur l’octroi ou le refus de prestations de l’assurance-invalidité étant soumise à des frais de justice (art. 69 al. 1bis LAI; art. 89H al. 4 LPA), au vu du sort du recours, il y a lieu de condamner l’intimé au paiement d’un émolument de CHF 200.-.</w:t>
      </w:r>
    </w:p>
    <w:p>
      <w:r>
        <w:rPr>
          <w:b/>
        </w:rPr>
        <w:t>E. 24</w:t>
      </w:r>
    </w:p>
    <w:p>
      <w:r>
        <w:t>Représenté par un mandataire, le recourant, qui obtient partiellement gain de cause, a droit à une indemnité de procédure, arrêtée en l’espèce à CHF 1'500.- (art. 61 let. g LPGA; art. 89H al. 3 LPA ; art. 6 du règlement sur les frais, émoluments et indemnités en matière administrative, du 30 juillet 1986 [RFPA – RS/GE E 5 10.03]). * * * * *</w:t>
      </w:r>
    </w:p>
    <w:p>
      <w:r>
        <w:t>A/1107/2016 - 28/28 -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