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ATAS/699/2018 vom 20. August 2018</w:t>
      </w:r>
    </w:p>
    <w:p>
      <w:r>
        <w:t>GE Cour de justice, 2018-08-20, FR</w:t>
      </w:r>
    </w:p>
    <w:p>
      <w:r>
        <w:rPr>
          <w:b/>
        </w:rPr>
        <w:t xml:space="preserve">Quelle: </w:t>
      </w:r>
      <w:r>
        <w:t>https://mcp.opencaselaw.ch/entscheid/ge_gerichte_ATAS_699_2018</w:t>
      </w:r>
    </w:p>
    <w:p>
      <w:r>
        <w:t>FR: GE_GERICHTE ATAS/699/2018 du 20 août 2018</w:t>
      </w:r>
    </w:p>
    <w:p>
      <w:r>
        <w:t>IT: GE_GERICHTE ATAS/699/2018 del 20 agosto 2018</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la suspension de huit jours du droit à l'indemnité de la recourante.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w:t>
      </w:r>
    </w:p>
    <w:p>
      <w:r>
        <w:t>A/1838/2018 - 4/7 - temps leur procurant un gain intermédiaire ou une activité bénévole relevant de l’art. 15, al. 4, LACI (al. 3); il convient avec l’assuré de la manière dont il pourra être atteint en règle générale dans le délai d’un jour (al. 4).</w:t>
      </w:r>
    </w:p>
    <w:p>
      <w:r>
        <w:rPr>
          <w:b/>
        </w:rPr>
        <w:t>E. 5</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w:t>
      </w:r>
    </w:p>
    <w:p>
      <w:r>
        <w:t>A/1838/2018 - 5/7 - viole des principes généraux du droit tels que l'interdiction de l'arbitraire et de l'inégalité de traitement, le principe de la bonne foi et le principe de la proportionnalité (ATF 123 V 150 consid. 2). Il résulte du barème précité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ch. 3A).</w:t>
      </w:r>
    </w:p>
    <w:p>
      <w:r>
        <w:rPr>
          <w:b/>
        </w:rPr>
        <w:t>E. 6</w:t>
      </w:r>
    </w:p>
    <w:p>
      <w:r>
        <w:t>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30 ).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ch. 50 in fine ad art. 30).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la recourante admet avoir communiqué à l’OCE l’adresse mail de son époux et s’être engagée, selon le plan d’actions du 30 octobre 2017, à relever quotidiennement son courriel ; elle reconnait aussi avoir été avertie des convocations transmises par courriels, soit celles pour les entretiens de conseil</w:t>
      </w:r>
    </w:p>
    <w:p>
      <w:r>
        <w:t>A/1838/2018 - 6/7 - depuis le 2 mai 2018, dès lors que les précédentes pour les entretiens de conseil des 30 octobre, 22 novembre, 22 janvier et 15 mars 2018 lui ont été remises en mains propres. Elle ne conteste pas avoir été convoquée par courriel, à l’adresse de son époux, pour un entretien de conseil agendé au 2 mai 2018. Elle fait valoir que l’erreur est imputable à son époux qui ne l’a pas avertie de la réception de la convocation à l’entretien de conseil. Cependant, la recourante ayant elle-même communiqué à l’intimé l’adresse mail de son époux, il lui incombait de prendre des mesures afin d’avoir accès aux courriels envoyés par l’intimé. Partant, l’absence à l’entretien de conseil du 2 mai 2018 n’est pas excusable et la suspension du droit à l’indemnité de la recourante de huit jours, laquelle tient compte d’une sanction antérieure (trois jours de suspension du droit à l’indemnité), ne peut qu’être confirmée.</w:t>
      </w:r>
    </w:p>
    <w:p>
      <w:r>
        <w:rPr>
          <w:b/>
        </w:rPr>
        <w:t>E. 9</w:t>
      </w:r>
    </w:p>
    <w:p>
      <w:r>
        <w:t>En conséquence, le recours sera rejeté. Pour le surplus, la procédure est gratuite.</w:t>
      </w:r>
    </w:p>
    <w:p>
      <w:r>
        <w:t>A/1838/2018 - 7/7 -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