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ATAS/699/2017 vom 22. August 2017</w:t>
      </w:r>
    </w:p>
    <w:p>
      <w:r>
        <w:t>GE Cour de justice, 2017-08-22, FR</w:t>
      </w:r>
    </w:p>
    <w:p>
      <w:r>
        <w:rPr>
          <w:b/>
        </w:rPr>
        <w:t xml:space="preserve">Quelle: </w:t>
      </w:r>
      <w:r>
        <w:t>https://mcp.opencaselaw.ch/entscheid/ge_gerichte_ATAS_699_2017</w:t>
      </w:r>
    </w:p>
    <w:p>
      <w:r>
        <w:t>FR: GE_GERICHTE ATAS/699/2017 du 22 août 2017</w:t>
      </w:r>
    </w:p>
    <w:p>
      <w:r>
        <w:t>IT: GE_GERICHTE ATAS/699/2017 del 22 agosto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La décision de l’intimé porte uniquement sur le droit à la rente du recourant. C'est ici le lieu de rappeler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9C_678/2011 du 4 janvier 2012 consid. 3.1). Partant, le litige porte en l’espèce uniquement sur le degré d’invalidité du recourant, plus particulièrement sur le point de savoir s’il a évolué depuis la décision de l’intimée du 9 août 2005. En revanche, l’indemnité pour atteinte à l’intégrité, la prise en charge des traitements médicaux et l’allocation pour impotent auxquelles le recourant a conclu ne font pas l’objet de la décision querellée, de sorte qu’ils sont exorbitants au litige.</w:t>
      </w:r>
    </w:p>
    <w:p>
      <w:r>
        <w:rPr>
          <w:b/>
        </w:rPr>
        <w:t>E. 5</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Si l'assuré est invalide (art. 8 LPGA) à 10 % au moins par suite d'un accident, il a droit à une rente d'invalidité (art. 18 al. 1 LAA). L'art. 8 LPGA précise qu’est</w:t>
      </w:r>
    </w:p>
    <w:p>
      <w:r>
        <w:t>A/65/2017 - 15/20 -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6</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cette disposition. Une rente peut ainsi être révisée non seulement en cas de modification sensible de l'état de santé, mais aussi lorsque celui-ci est resté en soi le même, mais que ses conséquences sur la capacité de gain ont subi un changement important (ATF 130 V 343 consid. 3.5 ; arrêt du Tribunal fédéral 8C_779/2012 du 25 juin 2013 consid. 2.2).</w:t>
      </w:r>
    </w:p>
    <w:p>
      <w:r>
        <w:rPr>
          <w:b/>
        </w:rPr>
        <w:t>E. 7</w:t>
      </w:r>
    </w:p>
    <w:p>
      <w:r>
        <w:t>La responsabilité de l'assureur-accident s'étend, en principe, à toutes les conséquences dommageables qui se trouvent dans un rapport de causalité naturelle (ATF 119 V 335 consid. 1) et adéquate avec l'événement assuré (arrêt du Tribunal fédéral 8C_268/2008 du 16 février 2009 consid. 2.3). Il y a lieu d'admettre un lien de causalité naturelle lorsque, sans l’événement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 11 février 2009 consid. 2.1). Ainsi, lorsque l'existence d'un rapport de cause à effet entre l'accident et le dommage paraît possible, mais qu'elle ne peut pas être qualifiée de probable dans le cas particulier, le droit à des prestations fondées sur l'accident assuré doit être nié (ATF 119 V 337 consid. 1, arrêt du Tribunal fédéral des assurances U 77/01 du 16 novembre 2001 consid. 2a).</w:t>
      </w:r>
    </w:p>
    <w:p>
      <w:r>
        <w:t>A/65/2017 - 16/20 - Pour être prise en considération dans le cadre d’une révision du droit à la rente, une péjoration de l'état de santé doit être en relation de causalité avec l'événement assuré (arrêt du Tribunal fédéral 8C_368/2013 du 25 février 2014 consid. 3 ; arrêt du Tribunal fédéral 8C_803/2012 du 15 octobre 2013 consid. 2).</w:t>
      </w:r>
    </w:p>
    <w:p>
      <w:r>
        <w:rPr>
          <w:b/>
        </w:rPr>
        <w:t>E. 8</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t>A/65/2017 - 17/20 -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9</w:t>
      </w:r>
    </w:p>
    <w:p>
      <w:r>
        <w:t>Il convient en premier lieu d’examiner si, comme l’affirme le recourant, l’expertise permet de statuer sur son degré d’invalidité. Tel n’est pas le cas. Si l’expertise comprend tous les éléments formels nécessaires selon la jurisprudence fédérale, puisqu’elle résume le dossier du recourant ainsi que son anamnèse, relate ses plaintes, décrit les constatations objectives ressortant des examens cliniques et paracliniques et pose des diagnostics précis, il convient de relever ce qui suit au sujet de ses conclusions quant à la capacité de travail et de gain du recourant. Dans leur rapport, les experts ont fait état d’une incapacité de travail totale, en soulignant que cette appréciation portait sur l’activité d’électricien. Sur ce point, leur évaluation concorde avec celle du Dr D______, qui avait conduit à l’octroi d’une rente partielle au recourant dès le 1er avril 2004. En revanche, contrairement à ce que le recourant allègue, ils n’ont nullement considéré que ce dernier était incapable de travailler même dans une activité adaptée. Le Dr L______ et l’ergothérapeute ont en effet admis qu’un travail assis, comprenant peu de déplacements et de ports de charges, était possible, sans toutefois préciser si cette capacité s’entendait à un pourcentage réduit. Le Dr M______ a également retenu « qu’il semblait » qu’une activité adaptée – qu’il n’a au demeurant pas définie – fût possible à 50 %, sans indiquer pour quels motifs le taux d’activité était limité ni sur quels éléments il se fondait. En conclusion à leur rapport, le Pr I______ et le Dr J______ ont déclaré admettre une capacité de travail dans une activité adaptée à « au moins » 50 %. Or, une telle évaluation n’est ni suffisamment précise, ni suffisamment motivée. De plus, les limitations fonctionnelles auxquelles se réfèrent les experts sont qualifiées d’anamnestiques, et on ignore ainsi si elles sont étayées par des constats objectifs. Enfin, les experts n’ont pas différencié entre la part de l’incapacité de travail dans une activité adaptée résultant des troubles en lien de causalité naturelle avec l’accident, dont répond l’intimée, et la part imputable aux problèmes du rachis et de l’épaule, qu’ils ont considérés sans rapport établi au degré de la vraisemblance prépondérante avec l’accident.</w:t>
      </w:r>
    </w:p>
    <w:p>
      <w:r>
        <w:t>A/65/2017 - 18/20 - Par ailleurs, il est impossible d’ignorer la contradiction majeure entre les conclusions des experts sur la capacité de travail telles qu’elles ressortent du rapport écrit et celles émises par le Pr I______ lors de son audition. Ce dernier, après avoir d’abord repris les conclusions du rapport, les a dans un premier temps tempérées, en retenant que cette capacité pourrait être moindre en raison du manque d’endurance, avant d’affirmer que le recourant ne pouvait plus travailler en raison du syndrome douloureux, et ce même dans une activité adaptée. Au vu de leur manque de clarté et de leurs contradictions intrinsèques, ces déclarations ne sauraient être suivies. Il n’est du reste pas inutile de souligner que ce n’est pas le Pr I______, mais le Dr J______ qui a examiné l’assuré dans le cadre de l’expertise. Il est par ailleurs d’autant plus incompréhensible que l’expert revienne sur l’appréciation ressortant du rapport du 26 mai 2015 que les explications qu’il a données lors de son audition n’emportent pas la conviction. Il s’est en effet fondé sur les douleurs qui empêcheraient le recourant de travailler, même assis. Or, il ressort du rapport d’expertise que l’estimation de la capacité de travail dans une activité sédentaire se fonde notamment sur l’appréciation du Dr L______, émise à l’issue d’épreuves fonctionnelles qui ne l’ont pas conduit à retenir une incapacité de travail dans une activité adaptée en raison de douleurs. En d’autres termes, la dernière estimation du Pr I______ contraste avec les constatations objectives de son confrère. Enfin, s’agissant de l’incidence négative du manque d’endurance et du déconditionnement sur une reprise du travail, il convient de rappeler que le déconditionnement est en lien avec la problématique rachidienne, comme cela ressort des diagnostics posés. Partant, l’intimée n’aurait en toute hypothèse pas à en répondre, puisqu’il ne s’agit pas là d’une atteinte en lien de causalité naturelle avec l’accident. Compte tenu de ces éléments, l’expertise mise en œuvre par le Tribunal de première instance et l’audition du Pr I______ ne permettent pas à la chambre de céans de statuer sur l’évolution de la capacité de travail et de gain du recourant, et de son degré d’invalidité. Cela étant, l’intimée a admis la survenance d’une aggravation de la chondropathie du genou gauche du recourant. Elle a conclu au renvoi de la cause afin de déterminer l’incidence de cet élément sur le degré d’invalidité.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Les conditions d’un renvoi sont en l’espèce réalisées, dès lors que l’intimée n’a pas examiné la capacité résiduelle de travail du recourant après la dégradation de l’état de son genou du point de vue médico-théorique, ni l’incidence économique de cette aggravation. Il lui appartiendra dès lors de recueillir les</w:t>
      </w:r>
    </w:p>
    <w:p>
      <w:r>
        <w:t>A/65/2017 - 19/20 - éléments médicaux pertinents, avant de procéder à un nouveau calcul du degré d’invalidité et de rendre une nouvelle décision. Compte tenu du renvoi à l’intimée, il ne sera pas fait droit à la requête du recourant tendant à l’apport de la cause pendante devant le Tribunal de première instance.</w:t>
      </w:r>
    </w:p>
    <w:p>
      <w:r>
        <w:rPr>
          <w:b/>
        </w:rPr>
        <w:t>E. 10</w:t>
      </w:r>
    </w:p>
    <w:p>
      <w:r>
        <w:t>Eu égard aux éléments qui précèdent, le recours est partiellement admis. Le recourant, qui est représenté, a droit à des dépens qui seront fixés à CHF 1'200.- (art. 61 let. g LPGA). Pour le surplus, la procédure est gratuite (art. 61 let. a LPGA).</w:t>
      </w:r>
    </w:p>
    <w:p>
      <w:r>
        <w:t>A/65/2017 - 20/20 -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