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ATAS/699/2016 vom 1. September 2016</w:t>
      </w:r>
    </w:p>
    <w:p>
      <w:r>
        <w:t>GE Cour de justice, 2016-09-01, FR</w:t>
      </w:r>
    </w:p>
    <w:p>
      <w:r>
        <w:rPr>
          <w:b/>
        </w:rPr>
        <w:t xml:space="preserve">Quelle: </w:t>
      </w:r>
      <w:r>
        <w:t>https://mcp.opencaselaw.ch/entscheid/ge_gerichte_ATAS_699_2016</w:t>
      </w:r>
    </w:p>
    <w:p>
      <w:r>
        <w:t>FR: GE_GERICHTE ATAS/699/2016 du 1 septembre 2016</w:t>
      </w:r>
    </w:p>
    <w:p>
      <w:r>
        <w:t>IT: GE_GERICHTE ATAS/699/2016 del 1 settembre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t>A/2333/2016 - 6/9 -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15 mois entre le recours auprès de la commission de recours AVS/AI et le recours pour déni de justice au TF n'apparaissait pas excessif au point de constituer un retard injustifié prohibé et cela en dépit de l'exigence de célérité qui ne peut l'emporter sur la nécessité d'une instruction complète et de l'enjeu de la cause pour l'assuré (arrêt I 819/02 du 23 avril 2003). Dans un arrêt ATAS 237/2014 du 26 février 2014, la chambre de céans a également nié l’existence d’un déni de justice, dans un cas où l’OAI avait informé l’assurée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effectuée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(TCAS) a admis que la décision de l'OAI intervenue cinq mois après un arrêt du TCAS, lequel rétablissait simplement la rente que l'OAI avait supprimée, était tardive, ledit retard constituant un déni de</w:t>
      </w:r>
    </w:p>
    <w:p>
      <w:r>
        <w:t>A/2333/2016 - 7/9 -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dans celui d'un assuré qui avait attendu dix-huit mois après que la cause ait été renvoyée à l’office pour nouvelle décision suite à l’admission partielle de son recours (ATAS/62/2007) ou encore dans celui où l’OAI, 9 mois après un jugement lui ordonnant de mettre en place une expertise, n’avait pas encore entrepris de démarches en ce sens (arrêt du 10 mai 2005 ATAS/430/2005).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(ATAS/484/2007 du 9 mai 2007) et dans le cas où l’OAI avait ordonné un complément d’expertise 17 mois après avoir obtenu les renseignements des médecins-traitants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(ATAS/1116/2013 du 18 novembre 2013).</w:t>
      </w:r>
    </w:p>
    <w:p>
      <w:r>
        <w:rPr>
          <w:b/>
        </w:rPr>
        <w:t>E. 4</w:t>
      </w:r>
    </w:p>
    <w:p>
      <w:r>
        <w:t>a. Dans le cas présent, le recourant se plaint d’un déni de justice parce qu’à ce jour, soit plus de cinq mois après l’annonce du sinistre, l’intimée ne lui a toujours pas versé d’indemnités journalières.</w:t>
      </w:r>
    </w:p>
    <w:p>
      <w:r>
        <w:t>A/2333/2016 - 8/9 - Pour sa part, l’intimée fait valoir qu’il n’y a guère eu de temps morts depuis l’annonce du sinistre et qu’une instruction complémentaire était nécessaire au vu de certaines incohérences quant au revenu et au taux d’occupation de l’assuré. Il convient tout d’abord de relever que, dans la mesure où ni l’accident, ni l’atteinte à la santé, ni l’incapacité de gain, ni l’existence d’un lien de causalité entre celle-ci et l’évènement ne sont contestés, seule se pose la question, pour l’intimée, de la fixation du montant de l’indemnité journalière due au recourant. Conformément à l'art. 16 LAA, l'assuré totalement ou partiellement incapable de travailler à la suite d'un accident a droit à une indemnité journalière (al. 1). Celle-ci vise à couvrir le risque de la perte de salaire due à une incapacité de travail. Le droit à cette indemnité naît le troisième jour qui suit l'accident (art. 16 al. 2 LAA). Les indemnités journalières et les rentes sont calculées d'après le gain assuré (art. 15 al. 1 LAA). En vertu de l'art. 17 al. 1 LAA, l'indemnité journalière correspond, en cas d'incapacité de travail, à 80 % du gain assuré. Il ressort de ce qui précède qu’il suffisait à l’intimée d’établir le montant du gain assuré. S’agissant du taux d’occupation indiqué, il est vrai qu’il aurait d’emblée dû apparaître comme une erreur de plume, à tout le moins, au plus tard, le 7 mars, lorsque le contrat de travail a été produit. Pour le reste, c’est un revenu de CHF 5'000.- qui a été annoncé dans la déclaration de sinistre, pour un taux de 15 h./sem., montant correspondant aux CHF 5'000.- annoncés à titre de revenu brut sans indemnités de vacances ou 13ème salaire, tel que ressortant de la fiche de salaire de janvier 2016 jointe à la déclaration. Certes, ce chiffre diffère de celui de CHF 5'600.- bruts mentionné dans le contrat de travail mais il convient de rappeler ici l’importance que revêt pour l’employé l’indemnité journalière qu’en tant qu’elle est supposée remplacer temporairement son salaire, d’autant plus dans les cas où, comme en l’espèce, l’employeur est dans l’impossibilité de verser des avances. Concrètement, en l’occurrence, le recourant ne touche plus aucun revenu depuis près de cinq mois et ce, alors que, tout au long de la procédure, il s’est plié avec célérité aux exigences de l’intimée pour fournir tous les documents en sa possession. Dans ces circonstances, on peut considérer que le 9 mai 2016 au plus tard, l’intimée disposait de tous les éléments pour fixer le montant de l’indemnité journalière, ne fût-ce qu’à titre provisionnel, quitte à le revoir par la suite. Au vu des circonstances, de l’importance que revêt pour le recourant le fait de pouvoir bénéficier rapidement d’une indemnité remplaçant partiellement son salaire, des efforts de collaboration évidents de l’assuré et de son employeur et du fait que l’intimée n’a jugé bon d’interroger la caisse de pension que le 27 mai, soit plus de trois mois après l’accident, et ne l’a d’ailleurs pas relancée depuis lors, la</w:t>
      </w:r>
    </w:p>
    <w:p>
      <w:r>
        <w:t>A/2333/2016 - 9/9 - Cour de céans considère que l’intimée a en l’occurrence violé le principe de célérité et commis un déni de justice. Il convient donc de la condamner à statuer dans les plus brefs délais sur l’indemnité journalière due à l’assuré.</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