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ATAS/699/2014 vom 10. Juni 2014</w:t>
      </w:r>
    </w:p>
    <w:p>
      <w:r>
        <w:t>GE Cour de justice, 2014-06-10, FR</w:t>
      </w:r>
    </w:p>
    <w:p>
      <w:r>
        <w:rPr>
          <w:b/>
        </w:rPr>
        <w:t xml:space="preserve">Quelle: </w:t>
      </w:r>
      <w:r>
        <w:t>https://mcp.opencaselaw.ch/entscheid/ge_gerichte_ATAS_699_2014</w:t>
      </w:r>
    </w:p>
    <w:p>
      <w:r>
        <w:t>FR: GE_GERICHTE ATAS/699/2014 du 10 juin 2014</w:t>
      </w:r>
    </w:p>
    <w:p>
      <w:r>
        <w:t>IT: GE_GERICHTE ATAS/699/2014 del 10 giugno 2014</w:t>
      </w:r>
    </w:p>
    <w:p>
      <w:pPr>
        <w:pStyle w:val="Heading2"/>
      </w:pPr>
      <w:r>
        <w:t>Erwägungen</w:t>
      </w:r>
    </w:p>
    <w:p>
      <w:r>
        <w:rPr>
          <w:b/>
        </w:rPr>
        <w:t>E. 6</w:t>
      </w:r>
    </w:p>
    <w:p>
      <w:r>
        <w:t>Le 5 mars 2013, l’assuré a formé une nouvelle demande de prestations AI, alléguant souffrir d’un syndrome douloureux chronique et d’une dépression sévère.</w:t>
      </w:r>
    </w:p>
    <w:p>
      <w:r>
        <w:rPr>
          <w:b/>
        </w:rPr>
        <w:t>E. 7</w:t>
      </w:r>
    </w:p>
    <w:p>
      <w:r>
        <w:t>Le Dr B______ notamment est venu confirmer que l’état de santé de son patient s’était aggravé depuis le 3 décembre 2010 (cf. certificat du 20 mars 2013).</w:t>
      </w:r>
    </w:p>
    <w:p>
      <w:r>
        <w:rPr>
          <w:b/>
        </w:rPr>
        <w:t>E. 8</w:t>
      </w:r>
    </w:p>
    <w:p>
      <w:r>
        <w:t>Par décision du 12 février 2014, l’OAI a informé l’assuré que les documents médicaux qu’il avait produits n’apportaient aucun élément nouveau, de sorte que sa demande était à nouveau rejetée.</w:t>
      </w:r>
    </w:p>
    <w:p>
      <w:r>
        <w:rPr>
          <w:b/>
        </w:rPr>
        <w:t>E. 9</w:t>
      </w:r>
    </w:p>
    <w:p>
      <w:r>
        <w:t>L’assuré, représenté par Me Jean-Baptiste VAUDAN, a interjeté recours le 12 mars 2014 contre ladite décision. Il conclut, préalablement, à ce qu’une expertise médicale pluridisciplinaire soit ordonnée et à ce que les Drs B______ et C______, psychiatre, soient entendus, et, principalement, à ce que la décision du 12 février 2014 soit annulée en tant qu’elle lui refuse tout droit à des prestations AI et à ce qu’il soit dit et constaté qu’il a droit à une rente d’invalidité entière.</w:t>
      </w:r>
    </w:p>
    <w:p>
      <w:r>
        <w:t>A/755/2014 - 3/10 -</w:t>
      </w:r>
    </w:p>
    <w:p>
      <w:r>
        <w:rPr>
          <w:b/>
        </w:rPr>
        <w:t>E. 10</w:t>
      </w:r>
    </w:p>
    <w:p>
      <w:r>
        <w:t>Invité à se déterminé, le service médical régional AI (SMR) a constaté, au vu des nouvelles pièces médicales versées au dossier par l’assuré, qu’une aggravation des douleurs avec une composante d’origine somatique, des hernies cervicales et une arthrose inconnue auparavant sont indiquées et n’ont donc pas été investiguées. Le médecin suggère dès lors la mise en œuvre d’une nouvelle expertise rhumato- psychiatrique en raison du substrat de syndrome somatoforme douloureux connu. Dans sa réponse du 5 mai 2014, l’OAI, se référant à l’avis du SMR, admet qu’il se justifie de procéder à un complément d’instruction sur le plan médical et conclut dès lors au renvoi du dossier pour instruction complémentaire.</w:t>
      </w:r>
    </w:p>
    <w:p>
      <w:r>
        <w:rPr>
          <w:b/>
        </w:rPr>
        <w:t>E. 11</w:t>
      </w:r>
    </w:p>
    <w:p>
      <w:r>
        <w:t>Un délai a alors été accordé à l’assuré pour indiquer s’il obtenait ainsi satisfaction.</w:t>
      </w:r>
    </w:p>
    <w:p>
      <w:r>
        <w:rPr>
          <w:b/>
        </w:rPr>
        <w:t>E. 12</w:t>
      </w:r>
    </w:p>
    <w:p>
      <w:r>
        <w:t>Par courrier du 28 mai 2014, celui-ci a informé la chambre de céans qu’il « souhaiterait en cas d’accord de l’office cantonal AI, au vu de sa position du 5 mai 2014, que la cause soit maintenue, mais que son instruction soit suspendue, le temps pour l’office de procéder dans les meilleurs délais au complément d’instruction nécessaire ».</w:t>
      </w:r>
    </w:p>
    <w:p>
      <w:r>
        <w:rPr>
          <w:b/>
        </w:rPr>
        <w:t>E. 13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w:t>
      </w:r>
    </w:p>
    <w:p>
      <w:r>
        <w:t>A/755/2014 - 8/10 -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14</w:t>
      </w:r>
    </w:p>
    <w:p>
      <w:r>
        <w:t>En l’espèce, le SMR a recommandé de soumettre l’assuré à une expertise rhumato- psychiatrique. Il appert en effet des pièces produites par l'assuré qu'il y aurait aggravation de son état de santé pour des motifs somatiques, qui n'ont pas encore été investigués. L’OAI a dès lors proposé le renvoi du dossier pour reprise de l’instruction. Force est de constater en effet que le dossier n'est pas en état d'être jugé. C'est dès lors à juste titre que le SMR a estimé qu'une expertise psychiatrique était nécessaire</w:t>
      </w:r>
    </w:p>
    <w:p>
      <w:r>
        <w:rPr>
          <w:b/>
        </w:rPr>
        <w:t>E. 15</w:t>
      </w:r>
    </w:p>
    <w:p>
      <w:r>
        <w:t>L’assuré, s’il approuve le principe d’un complément d’instruction sous forme d’expertise, souhaiterait que la cause soit maintenue, mais que son instruction soit suspendue.</w:t>
      </w:r>
    </w:p>
    <w:p>
      <w:r>
        <w:rPr>
          <w:b/>
        </w:rPr>
        <w:t>E. 16</w:t>
      </w:r>
    </w:p>
    <w:p>
      <w:r>
        <w:t>La question soulevée par l’assuré revient à se demander si la chambre de céans doit effectuer elle-même les mesures d’instruction complémentaires ou si elle doit renvoyer la cause à l’OAI.</w:t>
      </w:r>
    </w:p>
    <w:p>
      <w:r>
        <w:rPr>
          <w:b/>
        </w:rPr>
        <w:t>E. 17</w:t>
      </w:r>
    </w:p>
    <w:p>
      <w:r>
        <w:t>En vertu de la maxime d'office, l'administration et le juge doivent veiller d'office à l'établissement exact et complet des faits pertinents. Sont pertinents tous les faits dont l'existence peut influencer d'une manière ou d'une autre le jugement relatif à la prétention.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raisons pour le faire, eu égard aux griefs invoqués par les parties ou aux indices résultant du dossier. Ils ne peuvent ignorer des griefs pertinents invoqués par les parties pour la simple raison qu'ils n'auraient pas été prouvés (VSI 5/1994, 220 consid. 4a). Les parties sont donc en principe - sous réserve du devoir de collaborer à l'instruction de l'affaire - dispensées de l'obligation de prouver (ATF 125 V 195 consid. 2 et les références). Pour autant, elles ne sont pas libérées du fardeau de la preuve, en ce sens qu'en cas d'absence de preuve, la décision sera défavorable à la partie qui voulait déduire un droit de l'état de fait non prouvé (ATF 117 V 264 consid. 3b et les références; RAMA 1999 n° U 349 p. 478 consid. 2b).</w:t>
      </w:r>
    </w:p>
    <w:p>
      <w:r>
        <w:rPr>
          <w:b/>
        </w:rPr>
        <w:t>E. 18</w:t>
      </w:r>
    </w:p>
    <w:p>
      <w:r>
        <w:t>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w:t>
      </w:r>
    </w:p>
    <w:p>
      <w:r>
        <w:t>A/755/2014 - 9/10 - de justice (par exemple, lorsque, en raison des circonstances, seule une expertise judiciaire ou une autre mesure probatoire serait propre à établir l'état de fait), ou si un renvoi apparaît disproportionné dans le cas particulier (ATF non publié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w:t>
      </w:r>
    </w:p>
    <w:p>
      <w:r>
        <w:rPr>
          <w:b/>
        </w:rPr>
        <w:t>E. 19</w:t>
      </w:r>
    </w:p>
    <w:p>
      <w:r>
        <w:t>Il s'agit en l'espèce de trancher une question qui n'a jusqu'alors fait l'objet d'aucun éclaircissement, de sorte que le renvoi du dossier se justifie.</w:t>
      </w:r>
    </w:p>
    <w:p>
      <w:r>
        <w:rPr>
          <w:b/>
        </w:rPr>
        <w:t>E. 20</w:t>
      </w:r>
    </w:p>
    <w:p>
      <w:r>
        <w:t>Aussi le recours est-il partiellement admis et la cause renvoyée à l'OAI pour instruction complémentaire, sous forme d'une expertise rhumato-psychiatrique, et pour nouvelle décision.</w:t>
      </w:r>
    </w:p>
    <w:p>
      <w:r>
        <w:t>A/755/2014 - 10/10 -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