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ATAS/698/2017 vom 22. August 2017</w:t>
      </w:r>
    </w:p>
    <w:p>
      <w:r>
        <w:t>GE Cour de justice, 2017-08-22, FR</w:t>
      </w:r>
    </w:p>
    <w:p>
      <w:r>
        <w:rPr>
          <w:b/>
        </w:rPr>
        <w:t xml:space="preserve">Quelle: </w:t>
      </w:r>
      <w:r>
        <w:t>https://mcp.opencaselaw.ch/entscheid/ge_gerichte_ATAS_698_2017</w:t>
      </w:r>
    </w:p>
    <w:p>
      <w:r>
        <w:t>FR: GE_GERICHTE ATAS/698/2017 du 22 août 2017</w:t>
      </w:r>
    </w:p>
    <w:p>
      <w:r>
        <w:t>IT: GE_GERICHTE ATAS/698/2017 del 22 agosto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Déposé dans les forme et délai prévus par la loi, le recours est recevable (art. 56ss LPGA).</w:t>
      </w:r>
    </w:p>
    <w:p>
      <w:r>
        <w:rPr>
          <w:b/>
        </w:rPr>
        <w:t>E. 4</w:t>
      </w:r>
    </w:p>
    <w:p>
      <w:r>
        <w:t>Le litige porte sur le droit du recourant aux prestations de l’assurance-invalidité.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t>A/35/2017 - 13/19 -</w:t>
      </w:r>
    </w:p>
    <w:p>
      <w:r>
        <w:rPr>
          <w:b/>
        </w:rPr>
        <w:t>E. 6</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w:t>
      </w:r>
    </w:p>
    <w:p>
      <w:r>
        <w:t>A/35/2017 - 14/19 -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w:t>
      </w:r>
    </w:p>
    <w:p>
      <w:r>
        <w:t>A/35/2017 - 15/19 -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du Tribunal fédéral des assurances I 168/05 du 24 avril 2006 consid. 3.3; arrêt du Tribunal fédéral des assurances du 17 octobre 2003 consid. 5.2.2). c. S'agissant du recours à des données statistiques, le Tribunal fédéral a précisé que lors de la détermination du revenu d'invalide, il convient généralement de se fonder sur les salaires mensuels indiqués dans la table de l'Enquête suisse des salaires TA1, à la ligne « total secteur privé »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w:t>
      </w:r>
    </w:p>
    <w:p>
      <w:r>
        <w:t>A/35/2017 - 16/19 - précisément le revenu d'invalide et que le secteur en question est adapté et exigible (RAMA 2000 n° U 405, consid. 3b ; arrêt du Tribunal fédéral 9C_142/2009 du 20 novembre 2009, consid. 4.1; arrêt du Tribunal fédéral 9C_237/2007 du 24 août 2007, consid. 5.1).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 L'étendue de l'abattement dans un cas concret relève du pouvoir d'appréciation (ATF 132 V 393 consid. 3.3).</w:t>
      </w:r>
    </w:p>
    <w:p>
      <w:r>
        <w:rPr>
          <w:b/>
        </w:rPr>
        <w:t>E. 9</w:t>
      </w:r>
    </w:p>
    <w:p>
      <w:r>
        <w:t>Il convient en premier lieu de déterminer si l’expertise réalisée par les Drs J______, K______, L______ et Mme M______ doit se voir reconnaître valeur probante. Ces experts ont pris connaissance du dossier de l’assuré, qu’ils ont interrogé sur ces plaintes. Ils ont posé leurs diagnostics à l’issue d’examens cliniques complets, et leurs conclusions sont claires et motivées. Contrairement à ce qu’affirme le recourant, tenir compte d’une capacité de travail totale tout en retenant une diminution de rendement n’est nullement contradictoire, dès lors que cette baisse de rendement vise à tenir compte des troubles neuropsychologiques qui le ralentissent dans l’exécution de certaines tâches. Partant, cette expertise doit se voir reconnaître une pleine valeur probante. S’agissant du grief ayant trait à la fixation du début de l’incapacité de travail, on relèvera qu’on ne trouve au dossier aucune incapacité de travail attestée consécutivement à l’accident de 2012. Les neurologues consultés en juin 2013 n’ont du reste pas constaté d’anomalie clinique chez le recourant, hormis les paresthésies dont l’étiologie ne pouvait être déterminée. Compte tenu de ces éléments, c’est à juste titre que les experts n’ont pas fait remonter le début de l’incapacité de travail avant la survenance de l’AVC. Quant aux troubles psychiques du recourant, même s’il fallait admettre que l’atteinte psychique avait une incidence sur la capacité de travail jusqu’à fin 2014, comme il semble l’alléguer, on rappellera que la demande de prestations remonte à mai 2014 et que le droit à la rente naît au plus tard six mois après la demande de prestations en vertu de l’art. 29 al. 1 LAI. Partant, même s’il fallait admettre qu’une incapacité de travail totale d’origine psychique a perduré jusqu’en novembre 2014, elle n’aurait pas d’incidence sur le droit aux prestations du recourant avant cette date. Il convient quoi qu’il en soit de relever que si l’expert psychiatre a retenu que le trouble dépressif était en rémission depuis fin 2014, cela ne signifie pas qu’il déployait des effets sur la capacité de travail du recourant jusqu’à cette date. Les éléments au dossier ne plaident d’ailleurs pas en faveur d’une telle hypothèse. En effet, le recourant ne produit aucun certificat médical dans ce sens. Il ressort en outre du rapport des médecins du Service de psychiatrie des HUG qu’à fin février 2014, au terme de son hospitalisation, la thymie du recourant était améliorée et ses idées suicidaires avaient disparu. Aucune incapacité de travail n’a été attestée par ces</w:t>
      </w:r>
    </w:p>
    <w:p>
      <w:r>
        <w:t>A/35/2017 - 17/19 - médecins. Enfin, la Dresse I______ ne cite pas de diagnostic d’ordre psychique parmi les atteintes influant sur la capacité de travail du recourant dans son rapport du 16 juin 2014. On ne saurait ainsi revenir sur l’appréciation du Dr L______. Il n’existe en outre aucun rapport médical justifiant que l’on s’écarte des conclusions des experts. En effet, le Dr G______ a également indiqué en juin 2014 que l’activité était encore exigible, sous réserve d’une incapacité d’ordre psychiatrique. Quant à la Dresse I______, si elle a retenu que l’incapacité de travail était totale dans ses rapports du 16 juin 2014 et du 24 juillet 2015, elle n’a guère motivé cette conclusion. Le Dr P______ n’a pas non plus exposé pour quels motifs la capacité de travail de l’assuré n’était pas rétablie en octobre 2013. Ce médecin ne peut pas de plus être suivi lorsqu’il affirme que les experts n’ont pas tenu compte du caractère multi-tâches de l’activité habituelle du recourant, puisqu’une diminution de rendement a précisément été admise pour tenir compte du ralentissement du recourant et que ses difficultés ont été prises en compte dans la définition des limitations fonctionnelles. Eu égard à ces éléments, la chambre de céans se ralliera aux conclusions des experts, selon lesquelles le recourant présente une capacité de travail de 100 % avec une diminution de rendement de 30 % dans l’activité habituelle.</w:t>
      </w:r>
    </w:p>
    <w:p>
      <w:r>
        <w:rPr>
          <w:b/>
        </w:rPr>
        <w:t>E. 10</w:t>
      </w:r>
    </w:p>
    <w:p>
      <w:r>
        <w:t>S’agissant du degré d’invalidité, l’intimé a retenu qu’il se confondait avec l’incapacité de travail – soit 30 % – et n’ouvrait ainsi pas droit à une rente. Lorsque la capacité de travail d’un assuré est intacte dans son ancienne activité, le taux d'invalidité se confond avec celui de l'incapacité de travail, ce qui ne laisse plus de place à la prise en compte d'un éventuel abattement, lequel ne peut s'opérer que si le revenu d'invalide est déterminé au moyen des données statistiques de l'Enquête suisse sur la structure des salaires (arrêt du Tribunal fédéral 9C_888/2011 du 13 juin 2012 consid. 4.4). En l’espèce, le recourant peut à dires d’expert reprendre l’activité de gestionnaire de stock ou logisticien, moyennant une diminution de rendement. Cependant, il percevait des indemnités de chômage lors de la survenance de l’atteinte invalidante. Conformément à la jurisprudence citée, cela justifie la fixation du degré d’invalidité en recourant aux revenus statistiques tirés de l’ESS. Lorsque comme en l’espèce, les revenus avec et sans invalidité sont basés sur les mêmes données statistiques, il est superflu de les chiffrer avec exactitude, dès lors que le degré d'invalidité se confond avec celui de l'incapacité de travail, sous réserve d'une éventuelle réduction du revenu d'invalide (arrêt du Tribunal fédéral 9C_260/2013 du 9 août 2013 consid. 4.2 ; arrêts du Tribunal fédéral des assurances I 151/06 du 29 juin 2007 consid. 7.2.1 et I 418/03 du 23 septembre 2003 consid. 6.1). S’agissant de dite réduction, l’intimé n’a pas examiné si elle se justifiait, renonçant à faire usage de son pouvoir d’appréciation. Il ne s’est pas non plus déterminé sur ce point bien que le recourant l’ait soulevé dans son écriture du 9 février 2017. Une telle abstention constitue un excès de pouvoir d'appréciation</w:t>
      </w:r>
    </w:p>
    <w:p>
      <w:r>
        <w:t>A/35/2017 - 18/19 - négatif (ATF 116 V 307 consid. 2). Conformément à l'art. 61 al. 1 let. a de la loi sur la procédure administrative (LPA - E 5 10), l'abus ou l'excès du pouvoir d'appréciation peut être revu par la chambre de céans. La chambre de céans est ainsi fondée à revoir ce point et à procéder à l’abattement sur le revenu d’invalide selon sa propre appréciation. Compte tenu des circonstances, notamment de l’âge du recourant et de ses limitations fonctionnelles, une réduction de 10 % paraît appropriée. Cumulée à la diminution de rendement de 30 % que subit le recourant dans son activité habituelle, elle représente une perte de gain de 40 %, laquelle ouvre le droit à un quart de rente. Conformément à l’art. 29 al. 1 LAI, le droit à cette prestation s’ouvre six mois après le dépôt de la demande du recourant, soit dès le 1er novembre 2014. S’agissant des mesures professionnelles, c’est à juste titre que l’intimé ne les a pas accordées au recourant. En effet, compte tenu du caractère adapté de la profession qu’il a apprise, tant une mesure d’orientation qu’un reclassement s’avèrent superflus.</w:t>
      </w:r>
    </w:p>
    <w:p>
      <w:r>
        <w:rPr>
          <w:b/>
        </w:rPr>
        <w:t>E. 11</w:t>
      </w:r>
    </w:p>
    <w:p>
      <w:r>
        <w:t>Eu égard à ce qui précède, le recours est partiellement admis. Le recourant, représenté par un avocat, a droit à des dépens qui seront fixés en l’espèce à CHF 1'800.-. La procédure en matière d’assurance-invalidité n’étant pas gratuite (art. 69 al. 1bis LAI), l’intimé supporte l’émolument de CHF 200.-.</w:t>
      </w:r>
    </w:p>
    <w:p>
      <w:r>
        <w:t>A/35/2017 - 19/19 - PAR CES MOTIFS, LA CHAMBRE DES ASSURANCES SOCIALES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