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ATAS/697/2018 vom 16. August 2018</w:t>
      </w:r>
    </w:p>
    <w:p>
      <w:r>
        <w:t>GE Cour de justice, 2018-08-16, FR</w:t>
      </w:r>
    </w:p>
    <w:p>
      <w:r>
        <w:rPr>
          <w:b/>
        </w:rPr>
        <w:t xml:space="preserve">Quelle: </w:t>
      </w:r>
      <w:r>
        <w:t>https://mcp.opencaselaw.ch/entscheid/ge_gerichte_ATAS_697_2018</w:t>
      </w:r>
    </w:p>
    <w:p>
      <w:r>
        <w:t>FR: GE_GERICHTE ATAS/697/2018 du 16 août 2018</w:t>
      </w:r>
    </w:p>
    <w:p>
      <w:r>
        <w:t>IT: GE_GERICHTE ATAS/697/2018 del 16 agosto 2018</w:t>
      </w:r>
    </w:p>
    <w:p>
      <w:pPr>
        <w:pStyle w:val="Heading2"/>
      </w:pPr>
      <w:r>
        <w:t>Erwägungen</w:t>
      </w:r>
    </w:p>
    <w:p>
      <w:r>
        <w:rPr>
          <w:b/>
        </w:rPr>
        <w:t>E. 1</w:t>
      </w:r>
    </w:p>
    <w:p>
      <w:r>
        <w:t>Le 1er janvier 2017 est entrée en vigueur la modification des art. 122ss du Code Civil (CC) concernant le partage des prestations de sortie des ex-époux, ainsi que des art. 280ss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qui s'appliquent dans leur nouvelle teneur (art. 7d Tit. fin. CC).</w:t>
      </w:r>
    </w:p>
    <w:p>
      <w:r>
        <w:rPr>
          <w:b/>
        </w:rPr>
        <w:t>E. 2</w:t>
      </w:r>
    </w:p>
    <w:p>
      <w:r>
        <w:t>L'art. 25a de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s'appliquent par analogie au montant à transférer. Pour chaque conjoint, la prestation de sortie à partager correspond à la différence entre la prestation de sortie</w:t>
      </w:r>
    </w:p>
    <w:p>
      <w:r>
        <w:t>A/306/2018 4/5 - augmentée des avoirs de libre passage existant éventuellement au jour de l'introduction de la procédure de divorce - et la prestation de sortie -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le 6 décembre 2004, date du mariage, d’autre part le 23 juin 2016, date du dépôt de la demande en divorce. En l’espèce, selon les documents produits, la prestation acquise pendant le mariage par le demandeur s'élève à CHF 17'576.05 (8'341.65 + 9'234.40), tandis que celle acquise par la demanderesse atteint la somme de CHF 20'906.40, les intérêts ayant déjà été calculés par les institutions de prévoyance défenderesses. Ainsi le demandeur doit à son ex-épouse le montant de CHF 8'788.- (17'756.05 : 2) alors qu'elle lui doit celui de CHF 10’453.20 (20'906.40 : 2), de sorte que c’est en définitive la demanderesse qui doit à son ex-époux le montant de CHF 1'665.20 (10'453.20 - 8'788.-).</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A/306/2018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