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ATAS/696/2025 vom 16. September 2025</w:t>
      </w:r>
    </w:p>
    <w:p>
      <w:r>
        <w:t>GE Cour de justice, 2025-09-16, FR</w:t>
      </w:r>
    </w:p>
    <w:p>
      <w:r>
        <w:rPr>
          <w:b/>
        </w:rPr>
        <w:t xml:space="preserve">Quelle: </w:t>
      </w:r>
      <w:r>
        <w:t>https://mcp.opencaselaw.ch/entscheid/ge_gerichte_ATAS_696_2025</w:t>
      </w:r>
    </w:p>
    <w:p>
      <w:r>
        <w:t>FR: GE_GERICHTE ATAS/696/2025 du 16 septembre 2025</w:t>
      </w:r>
    </w:p>
    <w:p>
      <w:r>
        <w:t>IT: GE_GERICHTE ATAS/696/2025 del 16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 art. 62 al. 1 de la loi sur la procédure administrative du 12 septembre 1985 [LPA - E 5 10]). Lorsque le délai échoit un samedi, un dimanche ou un jour férié selon le droit fédéral ou cantonal, son terme est reporté au premier jour ouvrable qui suit (art. 38 al. 3 LPGA et 17 al. 3 LPA). Interjeté dans la forme et le délai prévus par la loi, le recours est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A/3534/2024 - 8/25 -</w:t>
      </w:r>
    </w:p>
    <w:p>
      <w:r>
        <w:rPr>
          <w:b/>
        </w:rPr>
        <w:t>E. 2.2</w:t>
      </w:r>
    </w:p>
    <w:p>
      <w:r>
        <w:t>; arrêt du Tribunal fédéral 9C_756/2018 du 17 avril 2019 5.2.2 et la référence).</w:t>
      </w:r>
    </w:p>
    <w:p>
      <w:r>
        <w:rPr>
          <w:b/>
        </w:rPr>
        <w:t>E. 3</w:t>
      </w:r>
    </w:p>
    <w:p>
      <w:r>
        <w:t>Le litige porte sur le droit de la recourante à l’octroi d’une rente d'invalidité au- delà du 30 septembre 2023 et à des mesures professionnelles.</w:t>
      </w:r>
    </w:p>
    <w:p>
      <w:r>
        <w:rPr>
          <w:b/>
        </w:rPr>
        <w:t>E. 3.2</w:t>
      </w:r>
    </w:p>
    <w:p>
      <w:r>
        <w:t>et 3.3 et les références citées ; cf. également ATF 138 V 402 consid. 4.4 et ATF 130 V 505 consid. 2.9).</w:t>
      </w:r>
    </w:p>
    <w:p>
      <w:r>
        <w:rPr>
          <w:b/>
        </w:rPr>
        <w:t>E. 4.1</w:t>
      </w:r>
    </w:p>
    <w:p>
      <w:r>
        <w:t>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Selon la jurisprudence récente du Tribunal fédéral (arrêt 8C_823/2023 du 8 juillet 2024), nonobstant l'entrée en vigueur, le 1er janvier 2022 de l'art. 26bis al. 3 RAI, la jurisprudence développée par le Tribunal fédéral antérieurement au 1er janvier 2022 concernant les critères justifiant un abattement sur le salaire d'invalide issu des statistiques demeure applicable.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w:t>
      </w:r>
    </w:p>
    <w:p>
      <w:r>
        <w:t>A/3534/2024 - 18/25 -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citées).</w:t>
      </w:r>
    </w:p>
    <w:p>
      <w:r>
        <w:rPr>
          <w:b/>
        </w:rPr>
        <w:t>E. 4.2</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w:t>
      </w:r>
    </w:p>
    <w:p>
      <w:r>
        <w:rPr>
          <w:b/>
        </w:rPr>
        <w:t>E. 4.3</w:t>
      </w:r>
    </w:p>
    <w:p>
      <w:r>
        <w:t>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4.4</w:t>
      </w:r>
    </w:p>
    <w:p>
      <w:r>
        <w:t>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4.5</w:t>
      </w:r>
    </w:p>
    <w:p>
      <w:r>
        <w:t>; arrêt du Tribunal fédéral 8C_804/2017 du 9 octobre 2018 consid. 3.1). Toutefois, en cas de paiements rétroactifs de rentes pour des périodes antérieures, le maintien du minimum vital ne doit pas être pris en compte comme limite de compensation lorsque la rente allouée à titre rétroactif remplace simplement une rente accordée pour une période antérieure et que les deux s'excluent mutuellement (ATF 138 V 402).</w:t>
      </w:r>
    </w:p>
    <w:p>
      <w:r>
        <w:rPr>
          <w:b/>
        </w:rPr>
        <w:t>E. 4.6</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4.7</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4.8</w:t>
      </w:r>
    </w:p>
    <w:p>
      <w:r>
        <w:t>Conformément à l’art. 88a al.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5.2</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w:t>
      </w:r>
    </w:p>
    <w:p>
      <w:r>
        <w:rPr>
          <w:b/>
        </w:rPr>
        <w:t>E. 5.2.1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w:t>
      </w:r>
    </w:p>
    <w:p>
      <w:r>
        <w:t>A/3534/2024 - 10/25 -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(cf. ATF 132 V 65 consid. 4.1).</w:t>
      </w:r>
    </w:p>
    <w:p>
      <w:r>
        <w:rPr>
          <w:b/>
        </w:rPr>
        <w:t>E. 5.2.2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w:t>
      </w:r>
    </w:p>
    <w:p>
      <w:r>
        <w:rPr>
          <w:b/>
        </w:rPr>
        <w:t>E. 5.2.3</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I. Catégorie « Degré de gravité fonctionnel » (ATF 141 V 281 consid. 4.3), Les indicateurs appartenant à la catégorie « degré de gravité fonctionnel » forment le socle de base pour l’évaluation des troubles psychiques (ATF 141 V 281 consid. 4.3 ; arrêt du Tribunal fédéral 9C_618/2019 du 16 mars 2020 consid. 8.2). Les déductions qui en sont tirées devront, dans un second temps, résister à un examen de la cohérence (ATF 141 V 281 consid. 4.3). A. Complexe « Atteinte à la santé » (consid. 4.3.1) Expression des éléments pertinents pour le diagnostic (consid. 4.3.1.1), succès du traitement et de la réadaptation ou résistance à cet égard (consid. 4.3.1.2), comorbidités (consid. 4.3.1.3).</w:t>
      </w:r>
    </w:p>
    <w:p>
      <w:r>
        <w:t>A/3534/2024 - 11/25 - B. Complexe « Personnalité » (diagnostic de la personnalité, ressources personnelles ; consid. 4.3.2) C. Complexe « Contexte social » (consid. 4.3.3) II.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rPr>
          <w:b/>
        </w:rPr>
        <w:t>E. 5.2.4</w:t>
      </w:r>
    </w:p>
    <w:p>
      <w:r>
        <w:t>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5.2.5</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6.2</w:t>
      </w:r>
    </w:p>
    <w:p>
      <w:r>
        <w:t>Selon le principe de libre appréciation des preuves, pleinement valable en procédure judiciaire de recours dans le domaine des assurances sociales</w:t>
      </w:r>
    </w:p>
    <w:p>
      <w:r>
        <w:t>A/3534/2024 - 12/25 -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w:t>
      </w:r>
    </w:p>
    <w:p>
      <w:r>
        <w:t>A/3534/2024 - 13/25 -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8.1</w:t>
      </w:r>
    </w:p>
    <w:p>
      <w:r>
        <w:t>En l’espèce, la recourante conteste disposer d’une pleine capacité de travail dans une activité adaptée. L’intimé quant à lui s’appuie sur le rapport d’expertise pour maintenir sa position.</w:t>
      </w:r>
    </w:p>
    <w:p>
      <w:r>
        <w:rPr>
          <w:b/>
        </w:rPr>
        <w:t>E. 8.2</w:t>
      </w:r>
    </w:p>
    <w:p>
      <w:r>
        <w:t>Il sied dès lors d’examiner les rapports médicaux au dossier, en particulier le rapport d’expertise de SWISS EXPERTISES MÉDICALES SÀRL. S’agissant de la valeur probante du rapport d'expertise, l’on doit relever qu’il répond, sur le plan formel, aux exigences posées par la jurisprudence pour qu'on puisse lui accorder une pleine valeur probante. L’expertise pluridisciplinaire a été conduite par des médecins spécialisés dans chaque domaine concerné, en vue d'établir une synthèse des différentes pathologies de l'expertisé, sur la base d'observations approfondies et d'investigations complètes, ainsi qu'en pleine connaissance du dossier. Les experts ont personnellement examiné la recourante préalablement à l'établissement de leur rapport d'expertise, et ils ont consigné les renseignements anamnestiques pertinents, recueilli les plaintes de l'assurée et résumé leurs propres constatations. Ils ont en outre énoncé les diagnostics retenus et répondu aux questions posées. Leurs conclusions sont claires et motivées. S’agissant du volet psychiatrique, l’expert, le Dr N______, commet une erreur en retenant que le suivi de la Dre B______ n’a commencé que dès le 31 janvier 2024 en lieu et place de 2014. Le Dr N______ ne rejoint pas l’appréciation de la Dre</w:t>
      </w:r>
    </w:p>
    <w:p>
      <w:r>
        <w:t>A/3534/2024 - 14/25 - B______, psychiatre de la recourante. À ce stade, il sied de relever que, dans le cadre de la première demande de la recourante, les rapports de la Dre B______ faisant état d’une totale incapacité de travail ont été écartés par le Tribunal fédéral au profit des conclusions de l’examen psychiatrique du SMR qui concluait à une rémission et à une pleine capacité de travail. Il sera également souligné qu’avant la contestation du projet de décision, la recourante n’avait fait valoir que ses atteintes physiques pour justifier sa nouvelle demande de prestations. Hormis l’erreur quant au début du suivi spécialisé, force est de constater que le Dr N______ détaille les raisons qui le font nier une pathologie psychiatrique incapacitante. Il indique notamment que les limitations ne sont pas uniformes dans tous les domaines de la vie, la recourante pratiquant ponctuellement la marche, rendant visite à ses enfants, se déplaçant en transports publics et parvenant à partir en vacances. En ce qui concerne le volet rhumatologique, le Dr M______ a également dûment motivé son analyse et ses conclusions, lesquelles rejoignent en substance les avis des médecins de la recourante. En effet, dans son rapport de consultation du 14 juin 2023, le Dr I______ note que l’évolution est globalement favorable, la recourante étant d’ailleurs satisfaite du résultat post-opératoire. Il indiquait que, cliniquement, le genou était sec, mobile et stable. Dans son rapport du son rapport du 9 mai 2023, le Dr I______ mentionnait que les douleurs étaient en amélioration et que l’assurée pouvait travailler dans une activité adaptée. Dans son rapport du 4 septembre 2023 suite au contrôle du 13 juin 2023, le Dr G______ notait que les limitations étaient les suivantes : marche prolongée, escaliers, marche sur terrain irrégulier et déplacement avec port de charges. Il mentionnait qu’a priori la recourante pouvait exercer une activité adaptée dont le taux serait à évaluer d’ici fin 2023, soit un an après la pose de la prothèse. Les médecins de la recourante attestent dès lors que courant juin 2023, l’état de santé de la recourante s’était amélioré et permettait une reprise d’activité adaptée. Le Dr M______ développe par ailleurs pourquoi il a estimé que la reprise pouvait se faire à 100%. Reste cependant une incohérence quant à la date du début de l’incapacité de travail qui découle manifestement d’une erreur d’année. En effet, c’est le 29 mai 2019 que la recourante a été opérée la première fois de son genou gauche, intervention qui s’est compliquée par une thrombose. Aucun événement n’a eu lieu le 29 mai 2020. Par conséquent, il sera retenu que la date du début de l’incapacité remonte au 29 mai 2019 en lieu et place de 2020, étant précisé que les spécialistes suivant la recourante sur le plan physique datent également son incapacité de travail à 2019.</w:t>
      </w:r>
    </w:p>
    <w:p>
      <w:r>
        <w:t>A/3534/2024 - 15/25 - Les experts en médecine interne et en neurologie ont également motivé leurs analyse et conclusions. Hormis l’erreur d’année quant au début de l’incapacité de travail, il apparaît que les éléments au dossier ont bien été pris en compte par les experts et qu’ils ne permettent en tout état de cause pas de remettre en cause l’expertise. S’agissant des limitations, elles prennent en compte les atteintes incapacitantes admises, soit celles du genou et du dos, et sont dès lors cohérentes avec l’analyse des experts, la recourante n’apportant par ailleurs aucun élément permettant de les remettre en cause. L’évaluation consensuelle des experts est conforme aux résultats auxquels chaque expert est parvenu dans son champ de spécialité. Leur avis commun est clairement motivé et apparait probant aux yeux de la chambre de céans. La Cour de céans retiendra dès lors une incapacité totale de travail dès le 29 mai 2019, date du début du délai de carence, et une capacité totale de travail dans une activité adaptée à compter du 14 juin 2023.</w:t>
      </w:r>
    </w:p>
    <w:p>
      <w:r>
        <w:rPr>
          <w:b/>
        </w:rPr>
        <w:t>E. 9.1</w:t>
      </w:r>
    </w:p>
    <w:p>
      <w:r>
        <w:t>La recourante conteste également le calcul du degré d’invalidité, l’intimé</w:t>
      </w:r>
    </w:p>
    <w:p>
      <w:r>
        <w:t>persistant dans sa position se basant sur les salaires statistiques.</w:t>
      </w:r>
    </w:p>
    <w:p>
      <w:r>
        <w:rPr>
          <w:b/>
        </w:rPr>
        <w:t>E. 9.2</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9.3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w:t>
      </w:r>
    </w:p>
    <w:p>
      <w:r>
        <w:t>A/3534/2024 - 16/25 -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et B 80/01 du 17 octobre 2003 consid. 5.2.2).</w:t>
      </w:r>
    </w:p>
    <w:p>
      <w:r>
        <w:rPr>
          <w:b/>
        </w:rPr>
        <w:t>E. 9.4</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w:t>
      </w:r>
    </w:p>
    <w:p>
      <w:r>
        <w:t>A/3534/2024 - 17/25 - (ATF 143 V 295 consid. 4 ; arrêt du Tribunal fédéral 8C_655/2016 du 4 août 2017 consid. 6.3).</w:t>
      </w:r>
    </w:p>
    <w:p>
      <w:r>
        <w:rPr>
          <w:b/>
        </w:rPr>
        <w:t>E. 9.4.1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w:t>
      </w:r>
    </w:p>
    <w:p>
      <w:r>
        <w:rPr>
          <w:b/>
        </w:rPr>
        <w:t>E. 9.5</w:t>
      </w:r>
    </w:p>
    <w:p>
      <w:r>
        <w:t>On rappellera que l'invalidité consiste en une diminution des possibilités de gain sur le marché équilibré du travail si cette diminution résulte d'une atteinte à la santé et si elle persiste après les traitements et les mesures de réadaptation exigibles (cf. art. 7 al. 1 et 8 al. 1 LPGA). La notion de marché équilibré du travail est une notion théorique et abstraite qui sert de critère de distinction entre les cas tombant sous le coup de l'assurance-chômage et ceux qui relèvent de l'assurance- 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 arrêt I 350/89 du 30 avril 1991 consid. 3b, in RCC 1991 p. 329). Il n'y a donc pas lieu d'examiner la question de savoir si l’assuré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d'oeuvre (arrêt I 198/97 du 7 juillet 1998 consid. 3b et les références, in VSI 1998 p. 293). On ne saurait certes se fonder sur des possibilités de travail irréalistes, c'est-à-dire envisager une activité qui ne pourrait être exercée que sous une forme tellement restreinte qu'elle n'existerait pratiquement pas sur le marché général du travail ou que son exercice supposerait de la part de l'employeur des concessions irréalistes (cf. arrêts 9C_984/2008 du 4 mai 2008 consid. 6.2 ; I 350/89 du 30 avril 1991 consid. 3b, in RCC 1991 p. 329 ; I 329/88 du 25 janvier 1989 consid. 4a, in RCC 1989 p. 328).</w:t>
      </w:r>
    </w:p>
    <w:p>
      <w:r>
        <w:rPr>
          <w:b/>
        </w:rPr>
        <w:t>E. 9.6</w:t>
      </w:r>
    </w:p>
    <w:p>
      <w:r>
        <w:t>Il convient de se référer à la version de l'ESS publiée au moment déterminant de la décision querellée (ATF 143 V 295 consid. 4 et les références ; arrêt du Tribunal fédéral 8C_801/2021 du 28 juin 2022 consid. 3.6).</w:t>
      </w:r>
    </w:p>
    <w:p>
      <w:r>
        <w:rPr>
          <w:b/>
        </w:rPr>
        <w:t>E. 9.7</w:t>
      </w:r>
    </w:p>
    <w:p>
      <w:r>
        <w:t>Dans sa décision, l’intimé s’est basé sur l’Enquête suisse sur la structure des salaires (ESS) tant pour le revenu sans qu’avec invalidité. Il ressort de la détermination du degré d’invalidité que l’intimé a calculé le salaire sans invalidité sur la base des ESS 2020 (TA1_Tirage skill level, femme, Total, pour 41.7 heures, niveau 1, indexé à 2023, soit un salaire annuel de CHF 54’222.). La recourante a exercé plusieurs types d’emplois avant d’être au chômage, puis sans activité professionnelle pendant de nombreuses années au moment du début de l’incapacité de travail, la manière de procéder de l’OAI correspond dès lors aux principes jurisprudentiels précités.</w:t>
      </w:r>
    </w:p>
    <w:p>
      <w:r>
        <w:t>A/3534/2024 - 19/25 - Pour le salaire avec invalidité, il a également été fixé d’après les ESS 2020 (TA1_Tirage skill level, femme, Total, pour 41.7 heures, niveau 1, indexé à 2023, étant précisé qu’aucun abattement n’a été retenu pour 2023, ce qui apparaît conforme à la jurisprudence, eu égard au nombre significatif d’emplois auxquels la recourante peut prétendre, malgré ses limitations, comme cela a été développé à juste titre par le service de la réadaptation de l’intimé. Ainsi, après comparaison des revenus avec et sans invalidité, c’est à juste titre que l’intimé a considéré la perte de gain comme nulle en 2023. La prise en compte d’un abattement de 10% pour l’année 2024 découle des modifications légales entrées en vigueur au 1er janvier 2024. À ce stade, il sied de relever que le calcul du degré d’invalidité aurait dû s’effectuer sur la base des ESS 2022. Toutefois, les revenus avec invalidité et sans invalidité ayant été calculés sur la même base, le résultat serait identique. Le calcul effectué est donc conforme à la jurisprudence en la matière et doit donc être confirmé, étant rappelé que l'intimé n’était pas tenu d’examiner quelle activité concrète était adaptée aux restrictions de la recourante.</w:t>
      </w:r>
    </w:p>
    <w:p>
      <w:r>
        <w:rPr>
          <w:b/>
        </w:rPr>
        <w:t>E. 10.1</w:t>
      </w:r>
    </w:p>
    <w:p>
      <w:r>
        <w:t>La recourante s’opposant également au refus de mesures professionnelles, ce grief sera également examiné.</w:t>
      </w:r>
    </w:p>
    <w:p>
      <w:r>
        <w:rPr>
          <w:b/>
        </w:rPr>
        <w:t>E. 10.2</w:t>
      </w:r>
    </w:p>
    <w:p>
      <w:r>
        <w:t>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Une perte de gain de 20% environ ouvre en principe droit à une mesure de reclassement dans une nouvelle profession (ATF 124 V 108 consid. 2b et les arrêts cités).</w:t>
      </w:r>
    </w:p>
    <w:p>
      <w:r>
        <w:rPr>
          <w:b/>
        </w:rPr>
        <w:t>E. 10.3</w:t>
      </w:r>
    </w:p>
    <w:p>
      <w:r>
        <w:t>En l'espèce, le degré d’invalidité de la recourante n’atteint pas le seuil donnant droit à une mesure de reclassement. Compte tenu des limitations fonctionnelles retenues, il faut admettre qu’il existe un nombre suffisamment large d’activités légères sur le marché du travail que la recourante peut assumer malgré ses limitations fonctionnelles et sans formation complémentaire. C'est donc à juste titre que les mesures professionnelles ont été refusées.</w:t>
      </w:r>
    </w:p>
    <w:p>
      <w:r>
        <w:t>A/3534/2024 - 20/25 -</w:t>
      </w:r>
    </w:p>
    <w:p>
      <w:r>
        <w:rPr>
          <w:b/>
        </w:rPr>
        <w:t>E. 11</w:t>
      </w:r>
    </w:p>
    <w:p>
      <w:r>
        <w:t>Compte tenu de ce qui précède, la Cour de céans modifiera la décision, en ce sens que le début du versement de la rente entière d’invalidité doit être fixé au 1er mars 2021, en lieu et place du 1er mai 2021. En effet, comme développé précédemment, le début du délai de carence doit être fixé au 29 mai 2019, il est donc arrivé à échéance le 1er mai 2020. Toutefois, compte tenu du dépôt de la demande au 25 septembre 2020, la rente ne peut être versée qu’à compter du 1er mars 2021, soit six mois après. La fin du droit à la rente a été à juste titre fixée au 30 septembre 2023, soit trois mois après l’amélioration admise à compter du 14 juin 2023.</w:t>
      </w:r>
    </w:p>
    <w:p>
      <w:r>
        <w:rPr>
          <w:b/>
        </w:rPr>
        <w:t>E. 12.1</w:t>
      </w:r>
    </w:p>
    <w:p>
      <w:r>
        <w:t>Enfin, la recourante fait valoir que l'intimé n'était pas en droit de compenser les rentes versées à son défunt époux avec celles qui lui étaient dues.</w:t>
      </w:r>
    </w:p>
    <w:p>
      <w:r>
        <w:rPr>
          <w:b/>
        </w:rPr>
        <w:t>E. 12.2</w:t>
      </w:r>
    </w:p>
    <w:p>
      <w:r>
        <w:t>À teneur de l'art. 37 al. 1bis LAI, si les deux conjoints ont droit à une rente, l'art. 35 de la loi fédérale sur l'assurance-vieillesse et survivants du 20 décembre 1946 (RS 831.10 - LAVS) est applicable par analogie. Selon l'art. 35 al. 1 LAVS, la somme des deux rentes pour un couple s'élève au plus à 150% du montant maximum de la rente de vieillesse si les deux conjoints ont droit à une rente de vieillesse ou si un conjoint a droit à une rente de vieillesse et l'autre à une rente de l'assurance-invalidité.</w:t>
      </w:r>
    </w:p>
    <w:p>
      <w:r>
        <w:rPr>
          <w:b/>
        </w:rPr>
        <w:t>E. 12.3</w:t>
      </w:r>
    </w:p>
    <w:p>
      <w:r>
        <w:t>Selon la doctrine et la jurisprudence, la compensation de créances réciproques constitue un principe juridique général, ancré en droit privé aux art. 120 ss de la loi fédérale du 30 mars 1911, complétant le Code civil suisse (CO, Code des obligations - RS 220). En droit des assurances sociales plus particulièrement, certaines lois spéciales règlent la compensation des créances (par exemple les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(ATF 130 V 505 consid. 2.1).</w:t>
      </w:r>
    </w:p>
    <w:p>
      <w:r>
        <w:rPr>
          <w:b/>
        </w:rPr>
        <w:t>E. 12.4</w:t>
      </w:r>
    </w:p>
    <w:p>
      <w:r>
        <w:t>Conformément à l'art. 20 al. 2 let. a LAVS, peuvent être compensées avec des prestations échues, notamment, les créances découlant de ladite loi et de la LAI. Cette disposition est applicable dans le domaine de l'assurance-invalidité en vertu de l'art. 50 al. 2 LAI.</w:t>
      </w:r>
    </w:p>
    <w:p>
      <w:r>
        <w:rPr>
          <w:b/>
        </w:rPr>
        <w:t>E. 12.5</w:t>
      </w:r>
    </w:p>
    <w:p>
      <w:r>
        <w:t>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w:t>
      </w:r>
    </w:p>
    <w:p>
      <w:r>
        <w:t>A/3534/2024 - 21/25 - du plafonnement ou lorsque les deux rentes des conjoints doivent être à nouveau plafonnées en raison d'une modification des bases de calcul (OFAS, Directives concernant les rentes de l’assurance vieillesse, survivants et invalidité fédérale (DR), état au 1er janvier 2024, ch. 10201). Dans un arrêt du 13 octobre 2004 (ATF 130 V 505), le Tribunal fédéral a admis la légalité de l’ancien ch. 10908 de la directive précitée. Il a précisé que la compensation en droit public, donc en droit des assurances sociales, est subordonnée à la condition que deux personnes soient, réciproquement, créancières et débitrices l'une de l'autre, selon l'art. 120 CO.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(consid. 2.4). Le Tribunal fédéral a également rappelé qu'une telle relation étroite a été admise entre la créance en restitution d'une rente d'invalidité assortie de rentes complémentaires à l'encontre de l'un des conjoints opposée en compensation à des arrérages de rentes d'invalidité versés à l'autre conjoint. Selon le Tribunal fédéral, les prestations versées en premier à l'un des conjoints (le mari) ne sont pas indues tant et aussi longtemps qu'un deuxième cas d'assurance n'est pas survenu en la personne de l'autre conjoint (la femme) ; elles le sont en revanche devenues automatiquement lors de la réalisation de la deuxième éventualité assurée. Les créances en restitution à l'égard du mari sont dès lors indissociablement liées aux prestations allouées à son épouse. Le Tribunal fédéral a encore précisé que sous l'angle économique, les rentes allouées à l'époux ont le même but que les rentes accordées ensuite à l'épouse avec effet rétroactif, à savoir procurer au couple, en tant qu'entité économique, un revenu de remplacement destiné à couvrir les besoins vitaux de la famille. Les rentes versées ultérieurement à l'autre conjoint prenaient, pour une part, la place des prestations versées précédemment en trop à l'autre conjoint, de sorte qu'il existe, de ce point de vue également, un rapport nécessaire de connexité entre les prestations revenant au couple. L'interdépendance des rentes individuelles des époux est également mise en évidence par les effets du plafonnement des rentes prévu par l'art. 35 LAVS, ce plafonnement s'expliquant, aux yeux du législateur, par le fait que le couple représente en soi une unité économique, dont les besoins financiers sont censés être inférieurs à ceux de deux personnes vivant seules (arrêt du Tribunal fédéral 9C_682/2010 du 29 avril 2011 consid. 1.2). Le Tribunal fédéral a encore confirmé sa position en expliquant que le droit de l'épouse à une rente d'invalidité implique nécessairement une modification des prestations accordées précédemment à son époux (rente d'invalidité et rente complémentaire pour</w:t>
      </w:r>
    </w:p>
    <w:p>
      <w:r>
        <w:t>A/3534/2024 - 22/25 - conjoint). Une telle interdépendance entre la part de rente d'invalidité versée en trop à l'un des conjoints et la rente d'invalidité allouée rétroactivement à l'autre conjoint est inhérente au système de calcul des rentes de l'assurance-vieillesse et survivants/assurance-invalidité en cas de réalisation d'un deuxième cas d'assurance chez un couple marié. La survenance du second cas d'assurance en la personne du conjoint qui ne bénéficiait jusqu'alors pas d'une rente déclenche la mise en oeuvre du « splitting » prévu dans les trois éventualités énumérées aux let. a à c de l'art. 29quinquies al. 3 LAVS (ATF 137 V 175 consid. 2.2.1).</w:t>
      </w:r>
    </w:p>
    <w:p>
      <w:r>
        <w:rPr>
          <w:b/>
        </w:rPr>
        <w:t>E. 12.5.1</w:t>
      </w:r>
    </w:p>
    <w:p>
      <w:r>
        <w:t>Une des conditions de la compensation est qu'elle ne peut porter atteinte au minimum vital de l'assuré, calculé selon les règles du droit des poursuites (ATF 138 V 402 consid. 4.2 ; ATF 138 V 235 consid. 7.2 ; ATF 136 V 286 consid. 6.1 ; ATF 131 V 249 consid. 1.2). En cas de versement rétroactif de prestations périodiques, la limite de compensation relative au minimum vital doit être examinée pour la même période, soit pour l'espace de temps dans lequel le versement rétroactif des prestations est destiné (ATF 138 V 402 consid. 4.2 et</w:t>
      </w:r>
    </w:p>
    <w:p>
      <w:r>
        <w:rPr>
          <w:b/>
        </w:rPr>
        <w:t>E. 12.5.2</w:t>
      </w:r>
    </w:p>
    <w:p>
      <w:r>
        <w:t>Sur le plan procédural, au regard de l'art.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OPGA ; arrêt du Tribunal fédéral 9C_678/2011 du 4 janvier 2012 consid. 5.2 et les références citées). La décision sur la restitution en tant que telle est susceptible d'être rendue en même temps que la décision sur le caractère indu des prestations (ATAS/375/2020 du 14 mai 2020 consid. 6c).</w:t>
      </w:r>
    </w:p>
    <w:p>
      <w:r>
        <w:rPr>
          <w:b/>
        </w:rPr>
        <w:t>E. 12.5.3</w:t>
      </w:r>
    </w:p>
    <w:p>
      <w:r>
        <w:t>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Une compensation immédiate ferait perdre à l'assuré la possibilité de contester la restitution et, le cas échéant, de demander une remise de l'obligation de restituer. Une remise de l'obligation de restituer n'entre toutefois</w:t>
      </w:r>
    </w:p>
    <w:p>
      <w:r>
        <w:t>A/3534/2024 - 23/25 - pas en considération dans la mesure où cette obligation peut être éteinte par compensation avec des prestations d'autres assurances sociales, soit lorsque des prestations déjà versées sont remplacées par d'autres prestations, dues à un autre titre, et que la compensation intervient entre ces prestations conformément au principe de concordance temporelle. Dans cette éventualité, la fortune de l'intéressé astreint à l'obligation de restituer ne subit aucun changement qui le mettrait dans une situation difficile, de sorte que la question de la remise n'a pas à être examinée (arrêt du Tribunal fédéral 8C_804/2017 du 9 octobre 2018 consid.</w:t>
      </w:r>
    </w:p>
    <w:p>
      <w:r>
        <w:rPr>
          <w:b/>
        </w:rPr>
        <w:t>E. 12.6</w:t>
      </w:r>
    </w:p>
    <w:p>
      <w:r>
        <w:t>Il résulte des pièces versées au dossier que la recourante, mariée, s’est vu accorder une rente du 1er mai 2021 au 30 septembre 2023. Or, au 1er mai 2021, son époux bénéficiait déjà d’une rente d’invalidité. Les deux époux ayant droit à une rente, c'est ainsi à juste titre que l'intimé a procédé, d'office, à l'ouverture de la procédure dite de « splitting », à savoir le partage des revenus acquis par les époux durant le mariage, et ce jusqu'au 31 décembre précédant la réalisation du risque assuré pour la recourante, et leur attribution par moitié à chacun (conformément à l'art. 29quinquies al. 3 let. a et al. 4 let. a LAVS, auquel renvoie l'art. 36 al. 2 LAI) et a réduit les rentes conformément à la limite du plafonnement de l’art. 35 al. LAVS. Le nouveau calcul a abouti à une rente d'invalidité d'un montant moindre à ce qui avait été effectivement alloué à l’époux de la recourante du 1er mai 2021 au 30 septembre 2023.</w:t>
      </w:r>
    </w:p>
    <w:p>
      <w:r>
        <w:rPr>
          <w:b/>
        </w:rPr>
        <w:t>E. 12.7</w:t>
      </w:r>
    </w:p>
    <w:p>
      <w:r>
        <w:t>Il s'ensuit que le droit de la recourante à une rente d'invalidité à compter du 1er mai 2021, date qui devra être revue conformément aux développements précités, établi par décision du 26 septembre 2024, constitue un fait nouveau, important, qui justifie la révision procédurale des décisions de rente au sens de l'art. 53 al. 1 LPGA. Par ailleurs, la décision de restitution litigieuse, rendue à la même date que la décision octroyant une rente d'invalidité à la recourante, et portant sur la restitution de prestations dès le 1er mai 2021, respecte les délais de péremption de l'art. 25 al. 2 LPGA (cf. arrêt du Tribunal fédéral des assurances I 98/04 du 13 octobre 2004 consid. 3 et la référence citée).</w:t>
      </w:r>
    </w:p>
    <w:p>
      <w:r>
        <w:rPr>
          <w:b/>
        </w:rPr>
        <w:t>E. 12.8</w:t>
      </w:r>
    </w:p>
    <w:p>
      <w:r>
        <w:t>En l'occurrence, l'intimé a, dans le cadre de sa décision de restitution du montant de CHF 6'811.-, à titre de prestations versées en trop du 1er mai 2021 au 30 septembre 2023, requis la compensation immédiate de cette somme avec une partie du rétroactif des rentes revenant à la recourante à compter du 1er mai 2021. Au vu de la jurisprudence, il y a lieu d'admettre que la créance en restitution à l'égard du désormais défunt époux de la recourante est indissociablement liée aux prestations allouées à cette dernière. En effet, la rente due à la recourante à compter du 1er mai 2021 a entraîné une réduction des prestations versées précédemment à son défunt époux compte tenu du plafonnement. Ces prestations n'étaient pas indues tant et aussi longtemps qu'un deuxième cas d'assurance n'était pas survenu en la personne de la recourante. Au vu du lien étroit existant entre la</w:t>
      </w:r>
    </w:p>
    <w:p>
      <w:r>
        <w:t>A/3534/2024 - 24/25 - créance en restitution de l'intimé à l'égard de l’époux de la recourante et les prestations lui revenant, l'intimé était en droit de procéder à la compensation de sa créance en restitution avec une partie du rétroactif qui lui était dû. Par ailleurs, c'est à juste titre que l'intimé a requis une compensation immédiate, sans attendre une éventuelle demande de remise de l'obligation de restituer et sans examiner la question du maintien du minimum vital comme limite de compensation. En effet, dès lors qu'une partie des rentes versées à l’époux de la recourante du 1er mai 2021 au 30 septembre 2023 est devenue indue en raison des prestations rétroactives dues, pour la même période, à la recourante, et que les deux s'excluaient mutuellement, une remise de l'obligation de restituer ainsi que le maintien du minimum vital n'entraient pas en considération. Admettre le contraire conduirait à un cumul injustifié de prestations (cf. ATF 138 V 402 consid. 4.5 et ATF 130 V 505 consid. 2.9).</w:t>
      </w:r>
    </w:p>
    <w:p>
      <w:r>
        <w:rPr>
          <w:b/>
        </w:rPr>
        <w:t>E. 12.9</w:t>
      </w:r>
    </w:p>
    <w:p>
      <w:r>
        <w:t>Partant, la restitution de CHF 6’811.-, dans son principe et sa quotité, doit être confirmée, étant encore relevé que la recourante ne conteste ni les bases de calculs de sa rente d'invalidité à compter du 1er mai 2021, ni le montant des prestations déjà versé pour la période courant dès cette date jusqu'au 30 septembre 2023. L'intimé était ainsi en droit de procéder à la compensation immédiate de sa créance en restitution de CHF 6’811.- à titre de prestations versées indûment du 1er mai 2021 au 30 septembre 2023.</w:t>
      </w:r>
    </w:p>
    <w:p>
      <w:r>
        <w:rPr>
          <w:b/>
        </w:rPr>
        <w:t>E. 13</w:t>
      </w:r>
    </w:p>
    <w:p>
      <w:r>
        <w:t>Au vu de ce qui précède, le recours sera partiellement admis, la recourante ayant droit à une rente limitée dans le temps du 1er mars 2021 au 30 septembre 2023. Non représentée, la recourante n’a pas droit à des dépens. L’intimé sera condamné au paiement d'un émolument de CHF 200.- (art. 69 al.1bis LAI).</w:t>
      </w:r>
    </w:p>
    <w:p>
      <w:r>
        <w:t>A/3534/2024 - 25/25 -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