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ATAS/696/2016 vom 25. August 2016</w:t>
      </w:r>
    </w:p>
    <w:p>
      <w:r>
        <w:t>GE Cour de justice, 2016-08-25, FR</w:t>
      </w:r>
    </w:p>
    <w:p>
      <w:r>
        <w:rPr>
          <w:b/>
        </w:rPr>
        <w:t xml:space="preserve">Quelle: </w:t>
      </w:r>
      <w:r>
        <w:t>https://mcp.opencaselaw.ch/entscheid/ge_gerichte_ATAS_696_2016</w:t>
      </w:r>
    </w:p>
    <w:p>
      <w:r>
        <w:t>FR: GE_GERICHTE ATAS/696/2016 du 25 août 2016</w:t>
      </w:r>
    </w:p>
    <w:p>
      <w:r>
        <w:t>IT: GE_GERICHTE ATAS/696/2016 del 25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dès le 1er janvier 2012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Interjeté dans le délai et la forme prévus par la loi, le recours est recevable (art. 56 et 60 LPGA ; art. 89B de la loi sur la procédure administrative du 12 septembre 1985, LPA-GE - E 5 10).</w:t>
      </w:r>
    </w:p>
    <w:p>
      <w:r>
        <w:rPr>
          <w:b/>
        </w:rPr>
        <w:t>E. 4</w:t>
      </w:r>
    </w:p>
    <w:p>
      <w:r>
        <w:t>Le litige porte sur le droit de la recourante à une rente de l’assurance-invalidité, singulièrement sur son degré d’invalidité.</w:t>
      </w:r>
    </w:p>
    <w:p>
      <w:r>
        <w:t>A/831/2016 - 8/14 -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w:t>
      </w:r>
    </w:p>
    <w:p>
      <w:r>
        <w:t>A/831/2016 - 9/14 -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8</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9</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w:t>
      </w:r>
    </w:p>
    <w:p>
      <w:r>
        <w:t>A/831/2016 - 10/14 -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rPr>
          <w:b/>
        </w:rPr>
        <w:t>E. 10</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A/831/2016 - 11/14 -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ainsi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12</w:t>
      </w:r>
    </w:p>
    <w:p>
      <w:r>
        <w:t>En l’espèce, la recourante ne conteste pas le statut mixte retenu, ni la pondération des champs d’activités. En revanche, elle conteste les empêchements retenus par l’enquêteuse lors de l’enquête ménagère et la capacité de travail résiduelle de 50 %. a) Sur le plan médical, le Dr G______ concluait dans son rapport d’expertise à une capacité de travail de 75% dans une activité légère, plutôt sédentaire, respectant les limitations fonctionnelles. La recourante et son employeur ayant contesté cette exigibilité, l’assureur perte de gain a mis en œuvre une deuxième expertise auprès du Dr H______. Ce dernier a conclu que les atteintes à la santé de la recourante et les limitations fonctionnelles qui en découlent entraînent une incapacité de travail de 50% d’un plein temps, l’activité habituelle de secrétaire-comptable étant encore exigible. L’expert a précisé que l’évolution et le pronostic permettent difficilement d’attendre une augmentation notable de cette capacité de travail dans l’activité administrative actuelle, ni d’envisager à moyen ou à long terme la mise en valeur durable d’une pleine capacité à plein temps et à rendement normal, quelle que soit l’activité professionnelle envisagée. Cette exigibilité rejoint celle attestée par la Dresse F______, médecin traitant, dans ses rapports des 13 et 20 février 2014. Il convient de relever que l’expertise du Dr H______ a été établie sur la base du dossier complet de la recourante, qu’il a pris en compte ses plaintes, que l’expertise</w:t>
      </w:r>
    </w:p>
    <w:p>
      <w:r>
        <w:t>A/831/2016 - 12/14 - comporte une anamnèse familiale, personnelle et professionnelle, de même qu’une anamnèse médicale complète, que l’expert a procédé à une appréciation du cas et que ses conclusions sont claires et bien motivées. L’expertise revêt ainsi pleine valeur probante. Selon l’expertise psychiatrique des HUG, la recourante ne présente par ailleurs aucune atteinte à la santé psychiatrique, seules les pathologiques somatiques ont en effet une influence sur la capacité de travail. La recourante allègue une aggravation de son état de santé, car depuis mai 2014, elle a dû diminuer son activité à raison de quatre heures par jour, quatre jours par semaine. Elle produit une attestation de la Dresse F______ du 26 novembre 2015. La chambre de céans constate à cet égard que la Dresse F______ atteste en effet que la recourante a réduit son temps de travail de 50% de son taux d’occupation habituel (80%) ; en revanche, l’aggravation de l’état de santé n’est pas documentée sur le plan médical. Par conséquent, c’est à juste titre que l’intimé a retenu la capacité de travail résiduelle de 50% (par rapport à un plein temps) dans la profession habituelle attestée par le Dr H______. b) La recourante invoque plusieurs griefs quant aux empêchements retenus dans l’enquête ménagère. Il convient de relever d’emblée qu’en ce qui concerne la femme de ménage, contrairement à ce que la recourante soutient, il n’a pas été tenu compte de l’aide apportée par la femme de ménage, mais uniquement de celle de sa fille. Ce grief est mal fondé. Concernant le poste alimentation, compte tenu du fait que la recourante prépare des repas simples pour elle et sa fille, de même que pour son fils, son épouse et leur enfant, et de l’aide apportée par sa fille, des empêchements à hauteur de 35% et une exigibilité de 30% n’apparaît pas critiquable. Quant au poste entretien du logement, pondéré à 20%, un empêchement de 50% a été retenu et une exigibilité de 30% pour la fille de la recourante. La recourante répartit le travail sur la semaine et sa fille entretien sa chambre. Les taux retenus par l’enquêteuse tiennent compte de façon appropriée de la réorganisation mise en place par la recourante et de l’aide de sa fille. S’agissant de la lessive, la recourante parvient à la faire, utilise le sèche - linge et s’est organisée pour repasser à petite dose. Un empêchement de 20% a été retenu et une exigibilité de 20% pour sa fille, qui repasse ses vêtements, ce qui ne prête pas flanc à la critique. La recourante allègue que l’exigibilité retenue pour l’aide apportée par sa fille a été surévaluée, compte tenu de son emploi du temps chargé (études et sport). Or, il convient d’admettre, à l’instar de l’intimé, qu’une exigibilité globale de 26% pour l’aide de sa fille apparaît raisonnable, aucun élément ne permettant d’admettre que les études de cette dernière s’en trouvent compromises. Les griefs de la recourante sont ainsi mal fondés.</w:t>
      </w:r>
    </w:p>
    <w:p>
      <w:r>
        <w:t>A/831/2016 - 13/14 - c) Compte tenu d’une capacité de travail exigible de 50% dans l’activité habituelle, qui est adaptée, et des empêchements retenus dans la part des travaux habituels, il convient de vérifier le calcul effectué par l’intimé aboutissant à un degré d’invalidité de 31%. Le taux d’invalidité se calcule selon la formule suivante (cf. ch. 3110 CCIAI) : E x IE + ([EZ – E] x H) EZ sachant que E = travail fourni par les assurés en tant que personnes non invalides exerçant une activité lucrative, en heures par semaine IE = handicap rencontré en tant que personne exerçant une activité lucrative, en pour-cent EZ = durée de travail normale des personnes exerçant une activité lucrative à plein temps dans la branche d’activité concernée, en heures par semaine H = handicap rencontré dans le ménage, en pour-cent.</w:t>
      </w:r>
    </w:p>
    <w:p>
      <w:r>
        <w:t>soit (cf. aussi données de l’employeur) : 32,5 x 50 + ([40 – 32,5] x 6,3) = 41,81% . 40</w:t>
      </w:r>
    </w:p>
    <w:p>
      <w:r>
        <w:t>Force est de constater que le calcul du degré d’invalidité effectué par l’intimé est erroné et qu’un degré d’invalidité de 41,81% ouvre droit à un quart de rente d’invalidité (art. 28 al. 2 LAI). La recourante a été en incapacité de travail depuis le 13 juillet 2013 et a déposé sa demande de rente le 23 janvier 2014. Par conséquent, elle a droit à un quart de rente dès le mois de juillet 2014 (art. 28 al. 1 let. b et c) LAI et 29 al. 1 LAI).</w:t>
      </w:r>
    </w:p>
    <w:p>
      <w:r>
        <w:rPr>
          <w:b/>
        </w:rPr>
        <w:t>E. 13</w:t>
      </w:r>
    </w:p>
    <w:p>
      <w:r>
        <w:t>Au vu de ce qui précède, le recours doit être admis.</w:t>
      </w:r>
    </w:p>
    <w:p>
      <w:r>
        <w:rPr>
          <w:b/>
        </w:rPr>
        <w:t>E. 14</w:t>
      </w:r>
    </w:p>
    <w:p>
      <w:r>
        <w:t>La recourante, qui obtient gain de cause, a droit à une indemnité à titre de participation à ses frais et dépens, fixée en l’occurrence à CHF 1'500.- (cf. art. 61 let. g LPGA ; art. 9 du règlement sur les frais, émoluments et indemnités en procédure administrative du 30 juillet 1986 - RFPA - E 5 10.03).</w:t>
      </w:r>
    </w:p>
    <w:p>
      <w:r>
        <w:rPr>
          <w:b/>
        </w:rPr>
        <w:t>E. 15</w:t>
      </w:r>
    </w:p>
    <w:p>
      <w:r>
        <w:t>Etant donné que, depuis le 1er juillet 2006, la procédure n'est plus gratuite (art. 69 al. 1bis LAI), au vu du sort du recours, il y a lieu de condamner l’intimé au paiement d'un émolument de CHF 200.-.</w:t>
      </w:r>
    </w:p>
    <w:p>
      <w:r>
        <w:t>A/831/2016 - 14/14 -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