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ATAS/696/2009 vom 20. November 2008</w:t>
      </w:r>
    </w:p>
    <w:p>
      <w:r>
        <w:t>GE Cour de justice, 2008-11-20, FR</w:t>
      </w:r>
    </w:p>
    <w:p>
      <w:r>
        <w:rPr>
          <w:b/>
        </w:rPr>
        <w:t xml:space="preserve">Quelle: </w:t>
      </w:r>
      <w:r>
        <w:t>https://mcp.opencaselaw.ch/entscheid/ge_gerichte_ATAS_696_2009</w:t>
      </w:r>
    </w:p>
    <w:p>
      <w:r>
        <w:t>FR: GE_GERICHTE ATAS/696/2009 du 20 novembre 2008</w:t>
      </w:r>
    </w:p>
    <w:p>
      <w:r>
        <w:t>IT: GE_GERICHTE ATAS/696/2009 del 20 novembre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S'agissant des versements en espèces d'une prestation de sortie pendant le mariage, ils n'ont pas à être pris en compte dans le calcul des prestations de sortie à partager (ATF 129 V 251 consid. 2.2 p. 254), sauf si le versement est intervenu sans le consentement écrit du conjoint, en violation de l'art. 5 al. 2 LFLP, loi qui est entrée en vigueur le 1er janvier 1995 (cf. ATF 133 V 205). Jusqu'à cette date, l'art 30 al. 2 let. c LPP était applicable, aux termes duquel la prestation de libre passage peut être payée en espèces lorsque la demande en est</w:t>
      </w:r>
    </w:p>
    <w:p>
      <w:r>
        <w:t>A/189/2009 4/6 faite par une femme mariée ou sur le point de se marier qui cesse d'exercer une activité lucrative.</w:t>
      </w:r>
    </w:p>
    <w:p>
      <w:r>
        <w:rPr>
          <w:b/>
        </w:rPr>
        <w:t>E. 4</w:t>
      </w:r>
    </w:p>
    <w:p>
      <w:r>
        <w:t>En l’espèce, le juge de première instance a donné acte aux demandeurs de ce qu'ils étaient d'accord de se partager par moitié les prestations de sortie acquises durant le mariage. Les dates pertinentes sont, d’une part, celle du mariage, le 15 septembre 1989, d’autre part le 13 janvier 2009, date à laquelle le jugement de divorce est devenu exécutoire.</w:t>
      </w:r>
    </w:p>
    <w:p>
      <w:r>
        <w:rPr>
          <w:b/>
        </w:rPr>
        <w:t>E. 5</w:t>
      </w:r>
    </w:p>
    <w:p>
      <w:r>
        <w:t>Selon les renseignements recueillis, la prestation acquise pendant le mariage par le demandeur est de 239'402 fr., sans l'avoir de prévoyance au moment du mariage, augmenté des intérêts jusqu'au divorce, tandis que celle acquise par la demanderesse est de 37'621 fr. 55, les intérêts ayant déjà été calculés par les institutions de prévoyance défenderesses. Quant à la prestation de sortie payée en espèces à la demanderesse le 26 juillet 1991 par la Caisse de pensions du personnel d'ELVIA-VIE, elle comprend certes un avoir de vieillesse accumulé pendant le mariage, pour la période du 15 septembre 1989 au 31 octobre 1990. Toutefois, la demanderesse a retiré cette prestation avec le consentement de son mari, comme elle l'a communiqué au Tribunal de céans par courrier du 26 mai 2009. En tout état de cause, à l'époque du paiement de cette prestation, la femme mariée ou sur le point de se marier pouvait également retirer son avoir de vieillesse sans le consentement du mari, si elle cessait l'activité lucrative, conformément à l'art. 30 al. 2 let. c LPP qui a été abrogé avec l'entrée en vigueur de la LFLP en date du 1er janvier 1995. Partant, il n'y a pas lieu d'inclure la partie acquise durant le mariage de cette prestation de libre passage dans les avoirs à partager de la demanderesse, conformément à la jurisprudence précitée. Comme il semble ressortir du courrier du 26 mai 2009 de la demanderesse, celle-ci estime qu'il faut tenir compte, à son profit, de sa prestation de libre passage, augmentée des intérêts jusqu'au divorce, qu'elle a retirée le 26 juillet 1991. Toutefois, à partir du moment où la demanderesse a demandé en 1991 le paiement en espèces de celle-ci, cet avoir n'existe plus. De surcroît, seul son ex-époux aurait pu le cas échéant demander à ce que l'on inclue la part acquise pendant le mariage de cette prestation dans les avoirs de prévoyance à partager de son ex-épouse. En aucun cas, la demanderesse ne peut cependant exiger une compensation, dans le cadre de la procédure de partage des avoirs de prévoyance, pour le fait qu'elle a consacré une partie de sa prestation de sortie retirée à payer les dettes de son ex- conjoint. Une telle compensation aurait dû être demandée au juge du divorce. Le Tribunal de céans est uniquement compétent pour partager les avoirs de prévoyance acquis durant le mariage et existant au moment du divorce conformément à la clé de partage décidée par le juge du divorce, sous réserve de retraits contraires à la loi et de versements anticipés pour l'acquisition d'un logement.</w:t>
      </w:r>
    </w:p>
    <w:p>
      <w:r>
        <w:t>A/189/2009 5/6 Au vu de ce qui précède, il y a lieu de constater que le demandeur doit à son ex- épouse le montant de 119'701 fr. (239'402 fr. : 2) et que celle-ci lui doit la somme de 18'810 fr. 80 (37'621 fr. 55 : 2), de sorte que c’est le demandeur qui doit à la demanderesse le montant de 100'890 fr. 20.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A/189/2009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