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ATAS/695/2011 vom 6. Juli 2011</w:t>
      </w:r>
    </w:p>
    <w:p>
      <w:r>
        <w:t>GE Cour de justice, 2011-07-06, FR</w:t>
      </w:r>
    </w:p>
    <w:p>
      <w:r>
        <w:rPr>
          <w:b/>
        </w:rPr>
        <w:t xml:space="preserve">Quelle: </w:t>
      </w:r>
      <w:r>
        <w:t>https://mcp.opencaselaw.ch/entscheid/ge_gerichte_ATAS_695_2011</w:t>
      </w:r>
    </w:p>
    <w:p>
      <w:r>
        <w:t>FR: GE_GERICHTE ATAS/695/2011 du 6 juillet 2011</w:t>
      </w:r>
    </w:p>
    <w:p>
      <w:r>
        <w:t>IT: GE_GERICHTE ATAS/695/2011 del 6 luglio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w:t>
      </w:r>
    </w:p>
    <w:p>
      <w:r>
        <w:t>A/2954/2010 - 8/17 -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(LCA; RS 221.229.1). a) Dès le 1er janvier 2011, cette compétence revient à la Chambre des assurances sociales de la Cour de justice, laquelle reprend la procédure pendante devant le Tribunal cantonal des assurances sociales (art. 143 al. 6 de la LOJ du 26 septembre 2010). La compétence ratione materiae de la Cour de céans pour juger du cas d’espèce est ainsi établie. b) S’agissant de la compétence ratione loci, l’art. 23 ch. 2 des conditions générales d'assurance (ci-après : CGA) et des conditions spéciales (CS) pour les assurances complémentaires selon la LCA (édition 2009) prévoit qu’en cas de litige découlant des assurances complémentaires, l'ayant droit a le choix entre le for du siège principal suisse de SWICA ou celui de son domicile suisse. Si le preneur d'assurance ou l'ayant droit est domicilié à l'étranger, Winterthour sera le for exclusif. En l'espèce, la demanderesse est domiciliée à Genève de sorte que la compétence du Tribunal cantonal des assurances sociales, puis de la Chambre des assurances sociales de la Cour de Justice, pour juger du cas d’espèce est donnée.</w:t>
      </w:r>
    </w:p>
    <w:p>
      <w:r>
        <w:rPr>
          <w:b/>
        </w:rPr>
        <w:t>E. 2</w:t>
      </w:r>
    </w:p>
    <w:p>
      <w:r>
        <w:t>L’assurance en cause est une assurance complémentaire soumise à la loi fédérale sur le contrat d’assurance du 2 avril 1908 (ci-après : LCA), comme le rappelle l’art. 2 ch. 2 CGA et l'art. 12 al. 2 LAMal aux termes duquel, "les caisses-maladie ont le droit de pratiquer, en plus de l'assurance-maladie sociale au sens de la présente loi, des assurances complémentaires; elles peuvent également pratiquer d'autres branches d'assurance, aux conditions et dans les limites fixées par le Conseil fédéral."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 l'hospitalisation à l’origine de la demande de prestations ayant débuté le 7 septembre 2009.</w:t>
      </w:r>
    </w:p>
    <w:p>
      <w:r>
        <w:rPr>
          <w:b/>
        </w:rPr>
        <w:t>E. 3</w:t>
      </w:r>
    </w:p>
    <w:p>
      <w:r>
        <w:t>a) La question de la qualité pour défendre relève, comme dans un procès civil, du fondement matériel de l'action (ATF non publié du 30 décembre 2003, B 59/03, consid. 3.2 et les références citées). A la qualité pour défendre, ou la légitimation</w:t>
      </w:r>
    </w:p>
    <w:p>
      <w:r>
        <w:t>A/2954/2010 - 9/17 -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ATF 114 II 345, consid. 3a). Cela étant, il convient de ne pas perdre de vue que la notion de "droit matériel", reprise du droit privé, ou de "droits subjectifs",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qu'elles s'imposent à l'administration même en l'absence de tout subjectif correspondant (MOOR, Droit administratif, Vol. II, Berne 2002, pp. 619 ss). b) En l'espèce, dans sa demande du 3 septembre 2010, la demanderesse agit contre SWICA Assurance-maladie SA et contre SWICA Organisation de santé pour finir par n'engager sa demande qu'à l'encontre de la première défenderesse, dans ses écritures après enquêtes du 3 mars 2011. Or, dès le 1er janvier 2002, SWICA Assurance-maladie SA a repris le portefeuille de SWICA Organisation de santé de sorte que cette dernière n'a pas la légitimation passive. La demande sera donc rejetée en tant qu'elle est dirigée contre SWICA Organisation de santé. c) Pour le surplus, la demande respecte la forme prévue à l'art. 89B de la loi sur la procédure administrative du canton de Genève du 12 septembre 1985 (LPA - RS E</w:t>
      </w:r>
    </w:p>
    <w:p>
      <w:r>
        <w:rPr>
          <w:b/>
        </w:rPr>
        <w:t>E. 5</w:t>
      </w:r>
    </w:p>
    <w:p>
      <w:r>
        <w:t>Selon l’art. 85 de la loi fédérale sur la surveillance des entreprises d’assurance du 17 décembre 2004 dans sa teneur en vigueur jusqu'au 31 décembre 2010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w:t>
      </w:r>
    </w:p>
    <w:p>
      <w:r>
        <w:t>A/2954/2010 - 10/17 - Dès le 1er janvier 2011, les alinéas 2 et 3 de l'art. 85 LSA ont été abrogés et le Code de procédure civile (CPC) est applicable. La demande ayant été déposée le 2 septembre 2010, l'art. 85 LSA dans sa teneur en vigueur jusqu'au 31 décembre 2010, a été appliqué jusqu'à cette date. En introduisant l'allégement de procédure de l'art. 85 al. 2 LSA,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Aussi, comme l'a précisé le Tribunal fédéral des assurances dans sa jurisprudence relative à l'appréciation des preuves dans le domaine médical, le juge apprécie librement les preuves médicales qu’il a recueillies, sans être lié par des règles formelles, en procédant à une appréciation complète et rigoureuse des preuves. Le juge doit donc examiner objectivement tous les documents à disposition, quelle qu’en soit la provenance, puis décider s’ils permettent de porter un jugement valable sur le droit litigieux. En présence de rapports médicaux contradictoires, le juge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w:t>
      </w:r>
    </w:p>
    <w:p>
      <w:r>
        <w:t>A/2954/2010 - 11/17 -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il sied ici de rappeler que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(ATF 124 V 201 consid. 3d; ATAS/1104/2006). a) En l'occurrence, aux termes de l'art. 33 LCA, l'assureur répond - sauf dispositions contraires - de tous les événements qui présentent le caractère du risque contre les</w:t>
      </w:r>
    </w:p>
    <w:p>
      <w:r>
        <w:t>A/2954/2010 - 12/17 - conséquences duquel l’assurance a été conclue, à moins que le contrat n’exclue certains événements d’une manière précise, non équivoque. Cette disposition est une concrétisation de l'adage in dubio contra stipulatorem (ATF 115 II 264, consid. 5a).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5C_26/2004 du 14 avril 2004, consid. 3.1). b) En l'espèce, selon l'art. 1 CGA assurance complémentaire d'hospitalisation Hospita, "en cas de traitement en milieu hospitalier dans les hôpitaux pour soins aigus, SWICA prend en charge, dans le cadre de l'assurance complémentaire Hospita, les frais de séjour, les frais de traitement et les frais annexes, en complément à l'assurance obligatoire des soins, qui ne sont pas pris en charge par cette dernière. En outre, d'autres prestations sont accordées dans cette assurance complémentaire selon la classe d'assurance choisie." L'art. 8 ch. 12 CGA prévoit une restriction aux prestations d'assurance de manière précise et non équivoque. Aux termes de cette disposition, "SWICA ne verse aucune prestation dans les assurances complémentaire pour des traitements et une incapacité de travail à la suite d'une consommation abusive de médicaments, de drogues ou d'alcool. L'abus de ces produits de toxicomanie n'est pas considéré expressément comme une maladie et, partant, ne déclenche pour SWICA aucune obligation de verser des prestations." La lettre de l'art 8 ch 12 CGA est claire; il s'agit de restrictions posées à tout traitement reçu "à la suite" d'une consommation "abusive" d'alcool notamment. En l'occurrence il faut donc un lien de causalité entre la consommation d'alcool et les soins prodigués et encore faut-il que cette consommation soit excessive. En définitive, le traitement doit apparaître comme la conséquence d'une consommation excessive d'alcool. Il n'est pas inutile de rappeler ici que le Tribunal fédéral a admis la validité d'une clause dans les conditions générales d'assurance excluant les prestations liées à l'abus d'alcool (ATF 5C_134/2004 du 1er octobre 2004, consid. 4).</w:t>
      </w:r>
    </w:p>
    <w:p>
      <w:r>
        <w:rPr>
          <w:b/>
        </w:rPr>
        <w:t>E. 8</w:t>
      </w:r>
    </w:p>
    <w:p>
      <w:r>
        <w:t>En l'espèce, la demanderesse est assurée auprès de SWICA depuis le 1er janvier 1996. Entre le 7 et le 24 septembre 2009, l'assurée a été hospitalisée à la clinique de la Métairie puis aux HUG, du 24 septembre au 15 octobre 2009.</w:t>
      </w:r>
    </w:p>
    <w:p>
      <w:r>
        <w:t>A/2954/2010 - 13/17 - Si les frais d'hospitalisation auprès des HUG ont finalement été pris en charge par SWICA, il n'en va pas de même de ceux résultant du séjour à la clinique de la Métairie. En effet, SWICA, se basant sur le rapport établi par les HUG à l'entrée de la patiente le 24 septembre 2009, conclut que le séjour à la Métairie (du 7 au 24 septembre 2009) l'a été en raison d'une consommation excessive d'alcool, nocive pour la santé. Or, il ressort tant des déclarations et des rapports du Dr D__________, médecin traitant de la demanderesse, que de celles du Dr C__________, spécialiste en psychiatrie à la Métairie ou encore de celles du Dr A__________, que la demanderesse a été hospitalisée en raison d'une dépression majeure principalement, avec consommation d'alcool secondairement. Les médecins précités s'accordent à dire que le motif d'hospitalisation n'a jamais été une cure de sevrage alcoolique, la consommation d'alcool devant être reconnue au deuxième plan uniquement. Les déclarations de ces trois médecins attestent que la prise d'alcool avait pour but de pallier à l'anxiété dans laquelle la demanderesse se trouvait et que cette substance agissait à des fins semblables à celles des anxiolytiques. En définitive, selon ces médecins, si la consommation d'alcool doit être reconnue, le séjour à la Métairie ne saurait être compris comme conséquence de cette consommation mais bien plutôt comme celle d'un état dépressif majeur et récurent. Dans cette mesure, l'existence d'un lien de causalité entre la consommation d'alcool et les soins prodigués à la clinique ne saurait être admise. Il est donc inexact de soutenir, comme le font à tort les HUG, que la demanderesse a été adressée à la clinique de la Métairie pour un sevrage OH. Au demeurant, il ne ressort pas des pièces versées au dossier qu'un diagnostic d'abus ou de dépendance ait été posé, mais une simple "utilisation nocive" assimilable à celle d'une personne consommant trop de café ou de tabac, selon le Dr C__________. Dans cette mesure, il apparaît pour le moins étonnant que les HUG aient mentionné dans leur rapport que la demanderesse était entrée à la clinique de la Métairie pour un sevrage OH, sans même l'avoir rencontrée à cette période d'hospitalisation-là. Selon toute vraisemblance, il s'agit d'une indication inexacte, comme le relève le Dr D__________. Il est d'autant plus surprenant que le médecin conseil fonde sa décision sur la seule appréciation des HUG qui, rappelons-le, n'ont pas examiné la demanderesse avant qu'elle leur soit adressée le 24 septembre 2009 pour une hépatite aigüe médicamenteuse. Le médecin conseil de SWICA a purement et simplement écarté les diagnostics posés par les médecins ayant prodigué des soins à la patiente avant et à son entrée à la Métairie. Au vu notamment des déclarations des médecins ainsi que des pièces versées au dossier, la Cour de céans considère que la demanderesse a été hospitalisée à la Métairie pour cause de dépression majeure, la consommation d'alcool n'étant pas la</w:t>
      </w:r>
    </w:p>
    <w:p>
      <w:r>
        <w:t>A/2954/2010 - 14/17 - cause de cette-même hospitalisation, mais bien plutôt une façon pour la patiente de combattre l'état d'anxiété dans lequel elle se trouvait. D'autre part, au vu des explications fournies par les parties et les médecins, des rapports médicaux et des pièces figurant au dossier, il apparaît inutile de procéder à de plus amples investigations, de sorte que la Cour de céans écartera la requête de SWICA tendant à l'apport de tout le dossier de l'assurée à la procédure ainsi qu'à la mise en œuvre d'une expertise sur l'hospitalisation litigieuse. Par conséquent, la demande est admise et la défenderesse est condamnée à verser à la demanderesse les sommes de 4'509 fr. 10 et de 4'347 fr. 55 au titre de l'hospitalisation à la clinique de la Métairie du 7 au 24 septembre 2009.</w:t>
      </w:r>
    </w:p>
    <w:p>
      <w:r>
        <w:rPr>
          <w:b/>
        </w:rPr>
        <w:t>E. 9</w:t>
      </w:r>
    </w:p>
    <w:p>
      <w:r>
        <w:t>a) S’agissant enfin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b)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c) Les conditions générales applicables en l’espèce ne prévoient pas de disposition particulière à cet égard. d) En l'occurrence, la défenderesse a refusé de prendre en charge les frais d'hospitalisation à la Métairie par courrier du 3 février 2010, rendant les prestations exigibles dès cette date. Par courrier du 21 juillet 2010, la demanderesse a mis en demeure la défenderesse de revoir le dossier et prendre en charge les frais d'hospitalisation litigieux. L'interpellation n'étant pas chiffrée alors qu'il s'agissait d'une prétention pécuniaire, elle ne saurait constituer une mise en demeure au sens</w:t>
      </w:r>
    </w:p>
    <w:p>
      <w:r>
        <w:t>A/2954/2010 - 15/17 - de l'art. 102 CO (ATAS/491/2011). La demande en paiement du 2 septembre 2010 étant la première à chiffrer les prétentions de la demanderesse, l’intérêt moratoire de 5% est dû à partir de la notification de cette dernière à la défenderesse.</w:t>
      </w:r>
    </w:p>
    <w:p>
      <w:r>
        <w:rPr>
          <w:b/>
        </w:rPr>
        <w:t>E. 10</w:t>
      </w:r>
    </w:p>
    <w:p>
      <w:r>
        <w:t>Au vu de ce qui précède, la demande sera admise, les conditions de l'art. 8 ch. 12 CGA n'étant manifestement pas réunies et le refus de prestations infondé. La défenderesse sera donc condamnée à verser à la demanderesse les montants de 4'509 fr. 10 et de 4'347 fr. 55 avec intérêts à 5% l'an dès le 4 septembre 2010, au titre de l'hospitalisation à la clinique de la Métairie du 7 au 24 septembre 2009.</w:t>
      </w:r>
    </w:p>
    <w:p>
      <w:r>
        <w:rPr>
          <w:b/>
        </w:rPr>
        <w:t>E. 11</w:t>
      </w:r>
    </w:p>
    <w:p>
      <w:r>
        <w:t>La demanderesse, représentée par un avocat, obtenant gain de cause en ce que sa demande concerne SWICA Assurance-maladie SA, la défenderesse sera condamnée à lui verser une indemnité de 3’000 fr. à titre de participation à ses frais et dépens (art. 89H al. 3 de la LPA ; ATAS/737/2008). Pour le surplus, la procédure est gratuite (art. 89H al. 1 LPA).</w:t>
      </w:r>
    </w:p>
    <w:p>
      <w:r>
        <w:t>A/2954/2010 - 16/17 -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