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ATAS/694/2022 vom 9. August 2022</w:t>
      </w:r>
    </w:p>
    <w:p>
      <w:r>
        <w:t>GE Cour de justice, 2022-08-09, FR</w:t>
      </w:r>
    </w:p>
    <w:p>
      <w:r>
        <w:rPr>
          <w:b/>
        </w:rPr>
        <w:t xml:space="preserve">Quelle: </w:t>
      </w:r>
      <w:r>
        <w:t>https://mcp.opencaselaw.ch/entscheid/ge_gerichte_ATAS_694_2022</w:t>
      </w:r>
    </w:p>
    <w:p>
      <w:r>
        <w:t>FR: GE_GERICHTE ATAS/694/2022 du 9 août 2022</w:t>
      </w:r>
    </w:p>
    <w:p>
      <w:r>
        <w:t>IT: GE_GERICHTE ATAS/694/2022 del 9 agosto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A/1875/2021 - 4/12 -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2017 est entrée en vigueur la modification du 25 septembre 2015 de la LAA. Dans la mesure où la maladie professionnelle est survenue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rPr>
          <w:b/>
        </w:rPr>
        <w:t>E. 4</w:t>
      </w:r>
    </w:p>
    <w:p>
      <w:r>
        <w:t>Interjeté dans les forme et délai prévus par la loi, le recours est recevable (art. 56ss LPGA).</w:t>
      </w:r>
    </w:p>
    <w:p>
      <w:r>
        <w:rPr>
          <w:b/>
        </w:rPr>
        <w:t>E. 5</w:t>
      </w:r>
    </w:p>
    <w:p>
      <w:r>
        <w:t>À titre liminaire, il convient de déterminer l’objet du litige.</w:t>
      </w:r>
    </w:p>
    <w:p>
      <w:r>
        <w:rPr>
          <w:b/>
        </w:rPr>
        <w:t>E. 5.1</w:t>
      </w:r>
    </w:p>
    <w:p>
      <w:r>
        <w:t>L'art. 52 al. 1 LPGA prévoit que les décisions peuvent être attaquées dans les trente jours par voie d'opposition auprès de l'assureur qui les a rendues, à l'exception des décisions d'ordonnancement de la procédure. Les décisions sur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des assurances C 279/03 du 30 septembre 2005 consid. 2.2.2, in SVR 2006 ALV n° 13 p. 43 ; cf. aussi ATF 130 V 388). L'opposition est un moyen de droit permettant au destinataire d'une décision d'en obtenir le réexamen par l'autorité administrative, avant qu'un juge ne soit éventuellement saisi (ATF 125 V 118 consid. 2a; GRISEL, Traité de droit administratif, vol. II, p. 939). La procédure d'opposition porte sur les rapports juridiques qui, d'une part, font l'objet de la décision initiale de l'autorité et à propos desquels, d'autre part, l'opposant manifeste son désaccord, implicitement ou explicitement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(ATF 125 V 415 consid. 2; MEYER-BLASER, Der Streitgegenstand im Streit - Erläuterungen zu BGE 125 V 413, in Aktuelle Rechtsfragen der Sozialversicherungspraxis, 2001, n° 17 p. 19; MEYER/VON ZWEHL, L'objet du litige en procédure de droit administratif fédéral, in Mélanges Pierre Moor, 2005, p. 435 ss; SEILER, Rechtsfragen des Einspracheverfahrens in der</w:t>
      </w:r>
    </w:p>
    <w:p>
      <w:r>
        <w:t>A/1875/2021 - 5/12 - Sozialversicherung [Art. 52 ATSG], in Sozialversicherungsrechtstagung 2007, n° 10.5 p. 99 sv.).</w:t>
      </w:r>
    </w:p>
    <w:p>
      <w:r>
        <w:rPr>
          <w:b/>
        </w:rPr>
        <w:t>E. 5.2</w:t>
      </w:r>
    </w:p>
    <w:p>
      <w:r>
        <w:t>L'objet du litige dans la procédure administrative subséquente est le rapport juridique qui constitue, d'après les conclusions du recours, l'objet de la décision effectivement attaquée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w:t>
      </w:r>
    </w:p>
    <w:p>
      <w:r>
        <w:rPr>
          <w:b/>
        </w:rPr>
        <w:t>E. 6</w:t>
      </w:r>
    </w:p>
    <w:p>
      <w:r>
        <w:t>En l'espèce, dans sa décision du 8 janvier 2021, l’intimée a refusé tout droit aux prestations d’assurance selon la LAA. Par courriers des 8 février et 29 mars 2021, le recourant a formé opposition à la décision précitée et a conclu à ce que son atteinte dermatologique soit considérée comme une maladie professionnelle. Dans sa décision sur opposition du 29 avril 2021, l’intimée a admis la qualification de maladie professionnelle, mais a refusé tout droit à une rente faute de perte de gain. Dans son recours du 31 mai 2021, l’assuré conclut à l’annulation de la décision sur opposition précitée et à l’octroi, d’une part, d’une rente d’invalidité de 100% calculée sur un salaire assuré de CHF 72'000.-, avec intérêts à 5% et, d’autre part, d’une indemnité pour atteinte à l’intégrité de 20%. Force est toutefois de constater que la question de l’indemnité pour atteinte à l’intégrité n’a pas été abordée dans la décision sur opposition querellée, cette dernière se limitant à l’examen du droit à une rente d’invalidité. C’est donc uniquement cette dernière prestation qui fait l’objet de la contestation et, partant, de la présente procédure judiciaire, à l’exclusion de l’indemnité pour atteinte à l’intégrité, pour laquelle aucune décision sur opposition n’a été rendue. Partant, le présent litige porte uniquement sur le droit du recourant à une rente d’invalidité, singulièrement sur l’existence d’une perte de gain, les conclusions tendant à l’allocation d’une indemnité pour atteinte à l’intégrité étant irrecevables, faute de décision sur opposition sur ce point. Cela étant, l’intimée sera invitée à rendre une décision sur opposition dûment motivée sur la question de l’indemnité pour atteinte à l’intégrité.</w:t>
      </w:r>
    </w:p>
    <w:p>
      <w:r>
        <w:rPr>
          <w:b/>
        </w:rPr>
        <w:t>E. 7.1</w:t>
      </w:r>
    </w:p>
    <w:p>
      <w:r>
        <w:t>Aux termes de l’art. 1a al. 1 LAA, sont notamment assurés à titre obligatoire conformément à la loi : les travailleurs occupés en Suisse, y compris les travailleurs à domicile, apprentis, stagiaires, volontaires, ainsi que les personnes travaillant dans des écoles de métiers ou des ateliers protégés (let. a). Le Conseil fédéral peut étendre l’assurance obligatoire aux personnes dont la situation est</w:t>
      </w:r>
    </w:p>
    <w:p>
      <w:r>
        <w:t>A/1875/2021 - 6/12 -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l’État hôte (al. 2). Selon l’art. 1 de l’ordonnance sur l’assurance-accidents (OLAA - RS 832.202) est réputé travailleur, selon l’art. 1a al. 1 LAA, quiconque exerce une activité lucrative dépendante au sens de la loi fédérale sur l’assurance-vieillesse et survivants (LAVS - RS 831.10). Le rapport d’assurance découle de la loi.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3ème éd., Bâle 2016, n. 7 p. 900).</w:t>
      </w:r>
    </w:p>
    <w:p>
      <w:r>
        <w:rPr>
          <w:b/>
        </w:rPr>
        <w:t>E. 7.2</w:t>
      </w:r>
    </w:p>
    <w:p>
      <w:r>
        <w:t>L’art. 4 al. 1 LAA prévoit que les personnes exerçant une activité lucrative indépendante et domiciliées en Suisse, ainsi que les membres de leur famille qui collaborent à l'entreprise, peuvent s'assurer à titre facultatif, s'ils ne sont pas assurés à titre obligatoire. Selon l’art. 5 LAA, les dispositions sur l’assurance obligatoire s’appliquent par analogie à l’assurance facultative (al. 1). Le Conseil fédéral édicte des prescriptions complémentaires sur l’assurance facultative. Il réglemente notamment l’adhésion, la démission et l’exclusion ainsi que le calcul des primes (al. 2). Dans l’assurance facultative, le rapport d'assurance se fonde sur un contrat écrit qui fixe notamment le début, la durée minimale et la fin du rapport d'assurance (art. 136 OLAA). Il s'agit d'un contrat d'assurance de droit public qui doit être interprété, dans le cadre des limites fixées par la loi, de la même manière qu'un contrat de droit privé, à savoir selon la réelle et commune intention des parties, respectivement selon le principe de la confiance (arrêt du Tribunal fédéral 8C_200/2017 du 2 mars 2018 consid. 3.1).</w:t>
      </w:r>
    </w:p>
    <w:p>
      <w:r>
        <w:rPr>
          <w:b/>
        </w:rPr>
        <w:t>E. 7.3</w:t>
      </w:r>
    </w:p>
    <w:p>
      <w:r>
        <w:t>Le point de savoir si l'on a affaire, dans un cas donné, à une activité indépendante ou salariée ne doit pas être tranché d'après la nature juridique du rapport contractuel entre les partenaires. Ce qui est déterminant, ce sont bien plutôt les circonstances économiques (arrêt du Tribunal fédéral 9C_213/2016 du 17 octobre 2016 consid. 3.2). Les rapports de droit civil peuvent certes fournir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Est indépendant celui qui exerce son activité selon sa propre organisation librement choisie – reconnaissable de</w:t>
      </w:r>
    </w:p>
    <w:p>
      <w:r>
        <w:t>A/1875/2021 - 7/12 - l'extérieur – et à ses propres risques et profits (arrêt du Tribunal fédéral 8C_658/2007 du 26 septembre 2008 consid. 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de ce cas. Souvent, on trouvera des caractéristiques appartenant à ces deux genres d'activité. Pour trancher la question, on se demandera quels éléments sont prédominants dans le cas considéré (ATF 114 V 65 consid. 2a). Une personne assurée peut exercer plusieurs activités lucratives en parallèle et être assujettie simultanément comme salariée et comme indépendante. Lorsque cela est le cas, il y a lieu de se demander pour chacun des revenus réalisés si celui-ci provient d’une activité salariée ou indépendante (ATF 122 V 169 consid. 3b). Selon la jurisprudence, le gérant ou le dirigeant d'une entreprise employé par cette dernière est, même s'il a dans les faits une position d'actionnaire unique ou majoritaire et a une influence déterminante sur la marche des affaires, formellement un travailleur salarié de la société. Cependant, ce ne sont pas les rapports de droit civil qui sont déterminants pour déterminer le statut d'une personne du point de vue des assurances sociales, mais bien la position économique.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(arrêts du Tribunal fédéral 8C_121/2017 du 5 juillet 2018, publié in SVR 2019 UV n° 3 p. 9, consid. 7.1 ; 9C_453/2014 du 17 février 2015 consid. 4.1 ; arrêt du Tribunal fédéral des assurances I 185/02 du 29 janvier 2003 consid. 3.1).</w:t>
      </w:r>
    </w:p>
    <w:p>
      <w:r>
        <w:rPr>
          <w:b/>
        </w:rPr>
        <w:t>E. 7.4</w:t>
      </w:r>
    </w:p>
    <w:p>
      <w:r>
        <w:t>Le Tribunal fédéral a récemment confirmé un arrêt de la Cour des assurances sociales du canton du Valais retenant qu’un associé et directeur d’une Sàrl, disposant de la signature individuelle, avait une fonction assimilable à un travailleur indépendant, étant donné notamment que la charge essentielle du travail afférent au lancement de la société lui avait incombé et qu’il avait supporté une partie du risque de l'entrepreneur lors du lancement de sa société. En outre, l'intéressé avait lui-même admis détenir le pouvoir de décision (arrêt du Tribunal fédéral 8C_331/2017 du 8 mars 2018 consid. 4.2). Le Tribunal fédéral a nié l'aptitude au placement d'un assuré qui avait créé sa propre Sàrl, constatant que ce dernier n'avait en réalité jamais cessé son activité indépendante depuis son inscription au chômage (arrêt du Tribunal fédéral 8C_435/2010 du 25 janvier 2011).</w:t>
      </w:r>
    </w:p>
    <w:p>
      <w:r>
        <w:t>A/1875/2021 - 8/12 - L’associé gérant d’une Sàrl, qui participe à l’exploitation de la société, doit être assimilé, sous l’angle de la réalité économique, à une personne de condition indépendante (arrêt du Tribunal fédéral des assurances C 224/01 du 13 décembre 2002 consid. 4.3 ; ATF 126 V 212 consid. 2b ; DTA 1998 n° 32 p. 177 consid. 4a et b). Tel est le cas également lorsque l’activité n’est pas rémunératrice (arrêt du Tribunal fédéral des assurances C 224/01 du 13 décembre 2002 consid. 4.3). La personne qui possède l'intégralité du capital social d'une Sàrl et qui est, ainsi, juridiquement fondée à prendre toutes les décisions concernant sa société a un statut indépendant. Elle ne peut par conséquent pas être assurée à titre obligatoire à l'assurance-accidents (ATAS/1123/2018 du 30 novembre 2018).</w:t>
      </w:r>
    </w:p>
    <w:p>
      <w:r>
        <w:rPr>
          <w:b/>
        </w:rPr>
        <w:t>E. 7.5</w:t>
      </w:r>
    </w:p>
    <w:p>
      <w:r>
        <w:t>Sont considérés comme travailleurs indépendants, les propriétaires d'une entreprise, d'une exploitation et d'un commerce (OFAS, Directives sur les cotisations des travailleurs indépendants et des personnes sans activité lucrative dans l’AVS, AI et APG [DIN], ch. 1005). Une personne peut être considérée comme exerçant une activité indépendante sans égard au rôle qu'elle joue effectivement dans l'entreprise et de l'usage qu'elle fait des pouvoirs qui lui sont légalement conférés. Dans le doute, est réputée travailleur indépendant la personne imposable pour le revenu de l'entreprise, du commerce ou de l'exploitation ou, en l'absence d'obligation fiscale, celle qui gère l'affaire à son propre compte (ch. 1010 et 1011 DIN). Les notions d’activité lucrative dépendante et indépendante propres au droit de l’AVS s’appliquent également à l’assurance-chômage obligatoire, à la prévoyance professionnelle et à l’assurance-accidents obligatoire (OFAS, Directive sur le salaire déterminant dans l'AVS, l'AI et l'APG - DSD - ch. 1040).</w:t>
      </w:r>
    </w:p>
    <w:p>
      <w:r>
        <w:rPr>
          <w:b/>
        </w:rPr>
        <w:t>E. 8.1</w:t>
      </w:r>
    </w:p>
    <w:p>
      <w:r>
        <w:t>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w:t>
      </w:r>
    </w:p>
    <w:p>
      <w:r>
        <w:rPr>
          <w:b/>
        </w:rPr>
        <w:t>E. 8.2</w:t>
      </w:r>
    </w:p>
    <w:p>
      <w:r>
        <w:t>Conformément à l'art. 18 al. 1er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w:t>
      </w:r>
    </w:p>
    <w:p>
      <w:r>
        <w:t>A/1875/2021 - 9/12 -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 ci n’est pas objectivement surmontable (al. 2 en vigueur dès le 1er janvier 2008). Il y a encore lieu de préciser que selon la jurisprudence, la notion d'invalidité, au sens du droit des assurances sociales, est une notion économique et non médicale; le taux d'invalidité ne se confond ainsi pas nécessairement avec le taux d'incapacité fonctionnelle déterminé par le médecin, car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9.2</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9.3</w:t>
      </w:r>
    </w:p>
    <w:p>
      <w:r>
        <w:t>Si l’administration ou le juge, se fondant sur une appréciation consciencieuse des preuves fournies par les investigations auxquelles ils doivent procéder d’office, sont convaincus que certains faits présentent un degré de vraisemblance</w:t>
      </w:r>
    </w:p>
    <w:p>
      <w:r>
        <w:t>A/1875/2021 - 10/12 -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10.1</w:t>
      </w:r>
    </w:p>
    <w:p>
      <w:r>
        <w:t>En l’espèce, le recourant est associé gérant de la Sàrl dont il est également le salarié. Du point de vue du droit civil, il doit être considéré comme un employé, soit comme une personne dépendante. C’est d’ailleurs à ce titre qu’il s’est assuré auprès de l’intimée. Cela étant, en matière d’assurances sociales, ce ne sont pas les rapports de droit civil qui sont déterminants pour déterminer le statut d’un assuré, mais sa position économique. Or, il ressort du dossier que le recourant est associé gérant de la Sàrl à parts égales avec sa femme et que c’est lui qui gérait et dirigeait le magasin d’optique dans lequel il travaillait. Conformément à la jurisprudence en la matière, il doit être considéré comme un indépendant. C’est d’ailleurs ce statut qui lui a été reconnu par l’OAI, sans qu’il n’y ait eu contestation de la part du recourant (cf. ATAS/696/2022). En tant qu’indépendant, le recourant n’est pas assuré à titre obligatoire auprès de l’intimée comme cela ressort de l’art. 1a LAA a contrario. Afin de bénéficier d’une couverture d’assurance, il aurait dû entreprendre les démarches pour s’assurer facultativement auprès de l’intimée, en concluant un contrat écrit fixant notamment le début, la durée minimale et la fin du rapport d'assurance. Or, rien ne permet de considérer que le recourant a effectivement effectué de telles démarches : la décision sur opposition querellée ne mentionne pas l’existence d’un tel contrat ; le dossier ne comprend pas de contrat d’assurance écrit ; la quasi-totalité des courriers adressés par l’intimée au recourant se réfère à l’assurance-accidents obligatoire ; le recourant s’est déclaré en tant que salarié, au même titre que les autres employés. Par conséquent, en tant que le recourant n’a pas conclu d’assurance-accidents facultative, la couverture d’assurance fait défaut et il ne peut prétendre à des prestations relatives à sa maladie professionnelle (voir dans le même sens les ATAS/840/2021 du 18 août 2021 et ATAS/1123/2018 du 30 novembre 2018).</w:t>
      </w:r>
    </w:p>
    <w:p>
      <w:r>
        <w:rPr>
          <w:b/>
        </w:rPr>
        <w:t>E. 10.2</w:t>
      </w:r>
    </w:p>
    <w:p>
      <w:r>
        <w:t>La Chambre de céans relève encore que le résultat serait le même si l’on devait accorder au recourant le statut de dépendant. En effet, dans cette hypothèse, force est de constater que le recourant n’a pas subi d’incapacité de gain, le salaire perçu depuis la création de la société étant de CHF 72'000.-, sans que ce montant n’ait varié suite à l’apparition de l’atteinte dermatologique comme cela ressort de</w:t>
      </w:r>
    </w:p>
    <w:p>
      <w:r>
        <w:t>A/1875/2021 - 11/12 - l’extrait du compte individuel du recourant, du rapport d’expertise économique de la fiduciaire et de la déclaration des salaires versés (cf. ATAS/696/2022). En appliquant donc la méthode de la comparaison des revenus, on constate que le recourant ne subit pas de perte de gain, comme l’a relevé à juste titre l’intimée. Par conséquent, dans la mesure où l’invalidité est une notion économique et non médicale, tant que le recourant continue à réaliser, malgré l’atteinte, un salaire identique à celui qu’il percevait auparavant, il n’y a pas de perte de gain. La comparaison des revenus avec et sans invalidité conduit donc, en l’état, à un taux d’invalidité de 0%, de sorte que le recourant ne saurait prétendre à une rente d’invalidité.</w:t>
      </w:r>
    </w:p>
    <w:p>
      <w:r>
        <w:rPr>
          <w:b/>
        </w:rPr>
        <w:t>E. 11</w:t>
      </w:r>
    </w:p>
    <w:p>
      <w:r>
        <w:t>Au vu de ce qui précède, c’est à juste titre que l’intimée a refusé de prester et le recours sera donc rejeté. Par ailleurs, les assureurs sociaux qui obtiennent gain de cause devant une juridiction de première instance n'ont en principe pas le droit à une indemnité de dépens (ATF 126 V 149 consid. 4). Pour le surplus, la procédure est gratuite.</w:t>
      </w:r>
    </w:p>
    <w:p>
      <w:r>
        <w:t>A/1875/2021 - 12/12 -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