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ATAS/694/2021 vom 28. Juni 2021</w:t>
      </w:r>
    </w:p>
    <w:p>
      <w:r>
        <w:t>GE Cour de justice, 2021-06-28, FR</w:t>
      </w:r>
    </w:p>
    <w:p>
      <w:r>
        <w:rPr>
          <w:b/>
        </w:rPr>
        <w:t xml:space="preserve">Quelle: </w:t>
      </w:r>
      <w:r>
        <w:t>https://mcp.opencaselaw.ch/entscheid/ge_gerichte_ATAS_694_2021</w:t>
      </w:r>
    </w:p>
    <w:p>
      <w:r>
        <w:t>FR: GE_GERICHTE ATAS/694/2021 du 28 juin 2021</w:t>
      </w:r>
    </w:p>
    <w:p>
      <w:r>
        <w:t>IT: GE_GERICHTE ATAS/694/2021 del 28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du recourant à être indemnisé pour le mois de juillet 2020, singulièrement sur la date à laquelle le formulaire IPA de juillet 2020 a été envoyé à l’intimée.</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b.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Selon l'art. 29 de l'ordonnance du 31 août 1983 sur l'assurance-chômage obligatoire et l'indemnité en cas d'insolvabilité (OACI), l'assuré exerce son droit, notamment, en remettant l'extrait du fichier « Données de contrôle » ou la formule « Indications de la personne assurée » (al. 1er let. d et al. 2 let. a). L'alinéa 3 prévoit qu'au besoin, la caisse impartit à l'assuré un délai convenable pour compléter les documents et le rend attentif aux conséquences d'une négligence. Ce délai ne peut et ne doit être accordé que pour compléter les premiers documents et non pour pallier leur absence (arrêt du Tribunal fédéral 8C_433/2014 du 16 juillet 2015 consid. 2.2). Ces exigences ont pour but de permettre à la caisse de se prononcer suffisamment tôt</w:t>
      </w:r>
    </w:p>
    <w:p>
      <w:r>
        <w:t>A/1021/2021 - 4/6 - sur le bien-fondé d'une demande d'indemnisation, afin de prévenir d'éventuels abus, en disposant des éléments essentiels qui lui sont nécessaires pour se prononcer en connaissance de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C 294/99 du 14 décembre 1999 consid. 2a, in DTA 2000 no 25 p. 122 ; cf. aussi arrêt 8C_427/2010 du 25 août 2010 consid. 5.1 ; arrêt 8C_591/2012 du 29 juillet 2013).</w:t>
      </w:r>
    </w:p>
    <w:p>
      <w:r>
        <w:t>A/1021/2021 - 5/6 -</w:t>
      </w:r>
    </w:p>
    <w:p>
      <w:r>
        <w:rPr>
          <w:b/>
        </w:rPr>
        <w:t>E. 6</w:t>
      </w:r>
    </w:p>
    <w:p>
      <w:r>
        <w:t>En l’occurrence, le recourant a allégué avoir transmis le formulaire IPA de juillet 2020, par courrier A, le 3 août 2020. Cependant, l’intimée a réceptionné le formulaire IPA litigieux le 13 janvier 2021 et aucune autre pièce au dossier de l’intimée, ou produite par le recourant, ne permet d’établir qu’il aurait été communiqué à l’intimée avant cette date. En particulier, le scannage du formulaire en cause, allégué par le recourant à la date du 3 août 2020, n’est pas une preuve de l’envoi du document à cette même date. Au demeurant, le recourant n’a pas établi qu’il avait communiqué à l’intimée le formulaire litigieux antérieurement au 13 janvier 2021. Le recourant se prévaut encore du principe de l’égalité de traitement avec un assuré au bénéfice d’une indemnité, lequel aurait, dans la même situation, eu la possibilité de réagir dans le délai de trois mois précité, dès lors que son attention aurait été attirée par la suppression de son indemnité pour le mois concerné. Le principe de l'égalité de traitement, consacré à l'art. 8 al. 1 Cst., commande que le juge traite de la même manière des situations semblables et de manière différente des situations dissemblables (ATF 131 V 107 consid. 3.4.2 p. 114 et les arrêts cités). A cet égard, la situation du recourant et celle d’un assuré recevant des indemnités de chômage ne justifient pas un traitement différent du point de vue de l’obligation qui leur est faite, en tant que personnes inscrites à l’OCE, de transmettre à l’intimée les documents nécessaires à l’établissement de leur droit, selon les dispositions de la LACI et de l’OACI précitées. En particulier, l’assuré n’a pas de droit à être averti par l’intimée qu’un formulaire IPA n’a pas été remis dans les délais. Le fait qu’un assuré au bénéfice d’indemnités aurait éventuellement pu réagir plus rapidement à la suite d’un formulaire IPA manquant, ne permet pas d’exonérer le recourant de l’obligation qui lui est faite de transmettre son formulaire IPA dans les délais. En conséquence, le recours ne peut qu’être rejeté. Pour le surplus, la procédure est gratuite.</w:t>
      </w:r>
    </w:p>
    <w:p>
      <w:r>
        <w:t>A/1021/2021 - 6/6 -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