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ATAS/694/2012 vom 24. Mai 2012</w:t>
      </w:r>
    </w:p>
    <w:p>
      <w:r>
        <w:t>GE Cour de justice, 2012-05-24, FR</w:t>
      </w:r>
    </w:p>
    <w:p>
      <w:r>
        <w:rPr>
          <w:b/>
        </w:rPr>
        <w:t xml:space="preserve">Quelle: </w:t>
      </w:r>
      <w:r>
        <w:t>https://mcp.opencaselaw.ch/entscheid/ge_gerichte_ATAS_694_2012</w:t>
      </w:r>
    </w:p>
    <w:p>
      <w:r>
        <w:t>FR: GE_GERICHTE ATAS/694/2012 du 24 mai 2012</w:t>
      </w:r>
    </w:p>
    <w:p>
      <w:r>
        <w:t>IT: GE_GERICHTE ATAS/694/2012 del 24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w:t>
      </w:r>
    </w:p>
    <w:p>
      <w:r>
        <w:t>A/264/2010 - 12/21 - Sa compétence pour juger du cas d’espèce est ainsi établie.</w:t>
      </w:r>
    </w:p>
    <w:p>
      <w:r>
        <w:rPr>
          <w:b/>
        </w:rPr>
        <w:t>E. 2</w:t>
      </w:r>
    </w:p>
    <w:p>
      <w:r>
        <w:t>Interjeté dans les forme et délai légaux (art. 56 et 60 LPGA), le recours est recevable.</w:t>
      </w:r>
    </w:p>
    <w:p>
      <w:r>
        <w:rPr>
          <w:b/>
        </w:rPr>
        <w:t>E. 3</w:t>
      </w:r>
    </w:p>
    <w:p>
      <w:r>
        <w:t>Le litige porte sur la question du maintien d’une rente entière d’invalidité dont le recourant a droit dès le 1er février 2008, singulièrement sur celle de savoir si l’état de santé du recourant s’est amélioré entre le mois de décembre 2008 et le mois d’avril 2009 au point de ne plus présenter une invalidité ouvrant le droit aux prestations.</w:t>
      </w:r>
    </w:p>
    <w:p>
      <w:r>
        <w:rPr>
          <w:b/>
        </w:rPr>
        <w:t>E. 4</w:t>
      </w:r>
    </w:p>
    <w:p>
      <w:r>
        <w:t>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a) En vertu de l’art. 28 al. 1 LAI, l’assuré a droit à une rente entière s’il est invalide à 70% au moins, à un trois quarts de rente s’il est invalide à 60% au moins, à une</w:t>
      </w:r>
    </w:p>
    <w:p>
      <w:r>
        <w:t>A/264/2010 - 13/21 - demi-rente s’il est invalide à 50% au moins, ou à un quart de rente s’il est invalide à 40% au moins.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A/264/2010 - 14/21 -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A/264/2010 - 15/21 - de poids aux constatations faites par un spécialiste qu’à l’appréciation de l’incapacité de travail par le médecin de famille (ATF 125 V 353 consid. 3b/cc et les références, RJJ 1995, p. 44 ; RCC 1988 p. 504 consid. 2).</w:t>
      </w:r>
    </w:p>
    <w:p>
      <w:r>
        <w:rPr>
          <w:b/>
        </w:rPr>
        <w:t>E. 7</w:t>
      </w:r>
    </w:p>
    <w:p>
      <w:r>
        <w:t>a) En l’espèce, en premier lieu, le recourant critique les taux et dates d’incapacité de travail dans une activité lucrative de 50%, respectivement 25 et 0% à compter de décembre 2008, respectivement février 2009 et avril 2009 retenus par l’Office AI. b) Il est vrai que tous les médecins se sont accordés pour retenir que la capacité de travail du recourant dans son ancienne activité de monteur en échafaudages était nulle. En revanche les médecins ont tous retenu que tel n’était pas le cas dans une activité adaptée aux limitations fonctionnelles de l’assuré. En effet. dans son rapport d’expertise du 11 décembre 2008, le Dr F_________ a retenu que, si la capacité de travail dans l’activité d’aide-monteur en échafaudages était nulle et le demeurerait probablement de manière définitive, l’assuré pourrait retrouver une pleine capacité de travail dans une activité adaptée permettant d’alterner les positions assise et debout, tout en évitant les marches prolongées, surtout en terrain irrégulier, les positions accroupies ou à genoux, les ports de charges lourdes et les travaux en hauteur ou sur un échafaudage, de suite (soit en novembre 2008) d’abord à 50% (matin) pendant les deux premiers mois, puis à 75% les deux mois suivants, et enfin à 100% dès le cinquième mois, sans diminution de rendement. Toutefois, dans son complément d’expertise du 24 septembre 2009, l’expert a indiqué que, s’agissant de la capacité de travail du recourant, les derniers renseignements médicaux fournis étaient contradictoires par rapport à ceux qu’ils avaient pu obtenir, de sorte qu’il conseillait de procéder à un nouveau bilan par un chirurgien orthopédiste tiers, en précisant néanmoins que la capacité de travail pouvait être évaluée à 100% moyennant des mesures de réadaptation. Le Dr G_________ ne s’est pas déterminé sur la capacité de travail dans une activité adaptée, mais a précisé que l’assuré ne devrait pas exercer une activité uniquement en position assise pendant plus de 5 à 6 heures par jour ni uniquement en position debout, qu’il devrait exercer une activité variant les positions et n’étant pas exercée principalement en marchant, qu’il ne devrait pas travailler accroupi, à genoux ou en rotation en position assise ou débout, qu’il ne devrait pas monter sur une échelle ou un échafaudage et qu’il ne devrait pas soulever des charges de plus de 10 à 15 kg (rapport du 26 janvier 2009 et son annexe). Le Dr H_________ a proposé de s’adresser à l’employeur pour un travail approprié, laissant ainsi entendre que la capacité de travail dans une activité adaptée n’était pas nulle (rapport du 3 février 2009); il a attesté que le recourant disposait d’une capacité de travail totale à compter du 1er juillet 2009 avec certaines limitations (attestation du 17 juillet 2009). Le Dr I_________ a indiqué qu’un travail adapté était exigible, sans mentionner de taux (rapport du 11 mars 2009).</w:t>
      </w:r>
    </w:p>
    <w:p>
      <w:r>
        <w:t>A/264/2010 - 16/21 - Dans un rapport d’expertise du 17 août 2010, le Dr I_________ a retenu que, suites aux séquelles de l’accident de 1999, l’assuré avait perdu sa capacité de travail dans son métier habituel de monteur d’échafaudages à partir de juin 2004. Trois mois après la plastie du LCA à gauche de novembre 2005 [i.e. février 2006], le recourant était capable d’exercer une activité adaptée aux limitations fonctionnelles engendrées par sa lésion du genou gauche. Il était capable de travailler dans une activité sédentaire ou semi-sédentaire sans port de charges. Il devait éviter les positions à genoux ou accroupies et la station début prolongée. Les courts déplacements à plat étaient possibles. Il devait éviter de marcher en terrain irrégulier. Après les interventions de février 2008 et mars 2010, un arrêt de travail de trois mois dans une activité adaptée était justifiable. Dans la mesure où le médecin précité a procédé à une étude circonstanciée des points litigieux, s’est fondé sur des examens complets, a pris en considération les plaintes exprimées par le recourant, a établi son rapport en pleine connaissance de l’anamnèse, a décrit le contexte médical et a apprécié la situation médicale de manière claire, et, finalement, a pris des conclusions qui sont convaincantes et dûment motivées, son rapport d’expertise remplit tous les réquisits jurisprudentiels pour qu’une pleine valeur probante lui soit reconnue. Sur la base de ce dernier rapport, qui n’entre au demeurant pas en contradiction avec les avis des autres médecins, la Chambre de céans considère que le recourant disposait d’une pleine capacité de travail dans une activité adaptée à ses limitations fonctionnelles depuis le mois de février 2006 déjà, sous réserve d’arrêts de travail de 3 mois après les interventions de février 2008 et mars 2010, et qu’ainsi, l’avis du Dr F_________ – sur lequel s’est basé l’Office AI pour rendre sa décision attaquée – selon lequel la capacité de travail du recourant dans une activité adaptée à ses limitations fonctionnelles était de 50% dès fin novembre 2008, de 75% dès février 2009 et de 100% dès avril 2009 était favorable au recourant. C’est donc à tort que ce dernier critique les taux et dates d’incapacité de travail dans une activité lucrative de 50%, respectivement 25 et 0% à compter de décembre 2008, respectivement février 2009 et avril 2009 retenus par l’Office AI.</w:t>
      </w:r>
    </w:p>
    <w:p>
      <w:r>
        <w:rPr>
          <w:b/>
        </w:rPr>
        <w:t>E. 8</w:t>
      </w:r>
    </w:p>
    <w:p>
      <w:r>
        <w:t>a) Le recourant critique également les statistiques prises en compte pour déterminer le salaire avec invalidité (61’490 fr.), en préférant se référer à la grille des salaires minimum de la convention collective de travail de la mécatronique conclue entre l’union industrielle genevoise et le syndicat UNIA qui prévoit un revenu de 47’970 fr. pour un travailleur non spécialisé sans expérience en 2009. b) Selon la jurisprudence constante (ATF 126 V 75 consid. 3b/aa et bb p. 76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w:t>
      </w:r>
    </w:p>
    <w:p>
      <w:r>
        <w:t>A/264/2010 - 17/21 - taux d’invalidité des assurés exerçant une activité lucrative) peut être évalué sur la base des salaires fondés sur les données statistiques résultant de l’ESS, singulièrement sur les salaires mensuels bruts (groupe de tableaux A), en partant de la valeur centrale (médiane). Il n’est pas ailleurs pas admissible de se fonder sur les données salariales issues des «salaires d’usage par branche dans 7 régions suisses» de l’USS ou encore sur des statistiques cantonales ou régionales (ATF n. p. I 424/05 du 22 août 2006, consid. 3.2.3 ; ATF n. p. I 157/04 du 22 décembre 2004, consid. 3.3.2 ; ATF 194/06 du 28 septembre 2006, consid. 2.2; M. VALTERIO, Droit de l’assurance vieillesse survivants (AVS) et l’assurance invalidité (AI), Genève Zurich Bâle 2011, n° 2126). c) Au regard de la jurisprudence susmentionnée, c’est en vain que le recourant critique l’utilisation par l’Office AI des statistiques ressortant de l’Enquête suisse sur la structure des salaires, d’autant que ces données statistiques sont plus représentatives que les salaires minimums convenus dans une convention collective de travail dans un secteur particulier d’activité et que le recourant ne fait valoir aucun motif pertinent qui justifierait un changement de la jurisprudence précitée (cf. notamment ATF 9C_704/2008 n. p. du 6 février 2009).</w:t>
      </w:r>
    </w:p>
    <w:p>
      <w:r>
        <w:rPr>
          <w:b/>
        </w:rPr>
        <w:t>E. 9</w:t>
      </w:r>
    </w:p>
    <w:p>
      <w:r>
        <w:t>a) Le recourant reproche également à l’intimé de n’avoir pas procédé à une réduction de 25% du revenu statistique considéré lors de l’estimation du gain réalisable avec invalidité. 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ATF n. p. du 20 janvier 2010, 9C_377/2009, consid. 4.2).</w:t>
      </w:r>
    </w:p>
    <w:p>
      <w:r>
        <w:t>A/264/2010 - 18/21 - c) En l’espèce, après avoir fixé le revenu sans invalidité de l’assuré à 57’114 fr., en prenant en compte un salaire horaire de 25 fr. 25 en 2005 (selon le questionnaire pour employeur), multiplié par 2’112 heures annuelles selon les conventions collectives du bâtiment et indexé à 2008, l’Office AI a estimé le revenu avec invalidité exigible sur la base statistique (Enquête suisse sur la structure des salaires 2006, TA1, niveau 4, pour un homme, ligne «total», avec adaptation à 41,7 heures par semaine et indexation à 2008, sans diminution de rendement) de 30’745 fr. (pour une capacité de travail de 50%), de 46’117 fr. (pour une capacité de travail de 50%) et de 61’490 fr. (pour une capacité de travail de 100%). L’Office AI n’a pas procédé à une baisse de rendement de 10%, en considérant qu’au vu du jeune âge de l’assuré et des seules limitations fonctionnelles liées à l’épargne de son genou gauche, une réduction supplémentaire du revenu raisonnablement exigible ne se justifiait pas. Lors de l’estimation du revenu d’invalide, l’Office AI n’a tout d’abord pas tenu compte d’une baisse de rendement, ce qui n’est pas critiquable au vu de l’avis du Dr I_________ selon lequel le recourant pouvait exercer une activité adaptée à ses limitations fonctionnelles sans diminution de rendement. En revanche, la Chambre de céans est d’avis que l’intimé aurait dû tenir compte des limitations fonctionnelles du recourant et, ainsi, procéder à un abattement de 10% sur le revenu d’invalide exigible (pour un cas similaire : ATF n. p. 8C_604/2007 du 7 avril 2008, consid. 5). En l’absence d’autre élément susceptible d’avoir un effet sur le montant du salaire que le recourant pouvait prétendre sur le marché du travail, il ne se justifiait toutefois pas de prendre en compte un taux de 25%. Ainsi, l’Office aurait dû comparer le revenu sans invalidité de 57’114 fr. avec un revenu avec invalidité de 27’671 fr. (pour une capacité de travail de 50%), de 41’505 fr. (pour une capacité de travail de 50%) et de 55’341 fr. (pour une capacité de travail de 100%). Il serait parvenu à des taux d’invalidité de respectivement 52%, donnant droit à une demi-rente (en lieu et place d’un quart de rente), 27% et 3%, justifiant la suppression de la rente dès le 1er avril 2009. La décision de l’intimée devra être modifiée dans ce sens.</w:t>
      </w:r>
    </w:p>
    <w:p>
      <w:r>
        <w:rPr>
          <w:b/>
        </w:rPr>
        <w:t>E. 10</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w:t>
      </w:r>
    </w:p>
    <w:p>
      <w:r>
        <w:t>A/264/2010 - 19/21 -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 p. I 388/06 du 25 avril 2007).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 p. 9C_100/2008 du 4 février 2009 et consid 3.2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Si une perte de gain de 20% environ ouvre en principe droit à une mesure de reclassement dans une nouvelle profession (ATF 124 V 108 consid. 2b p110 et les arrêts cités), la question reste ouverte d’agissant des autre mesures d’ordre professionnel prévues par la loi (cf. ATF n. p. 9C_464/2009 du 31 mai 2010). Selon l’article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 2001 et 2002). Le Tribunal fédéral a rappelé que l’orientation professionnelle se démarque des autres mesures d’ordre professionnel (art. 16 ss LAI) par le fait que, dans le cas</w:t>
      </w:r>
    </w:p>
    <w:p>
      <w:r>
        <w:t>A/264/2010 - 20/21 -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 p.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 BLASER, Zum Verhältnismässigkeitsgrundsatz im staatlichen Leistungsrecht, 1985, p. 82 ss et 123 ss,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b) En l’espèce, l’intimé a nié le droit aux mesures d’ordres professionnel en l’absence d’invalidité. Vu l’annulation de la décision dans le sens des considérants qui précèdent et l’existence d’une invalidité de 3%, il appartiendra à l’Office AI d’examiner toutes les conditions du droit éventuel du recourant à des mesures d’ordre professionnel autres que le reclassement, auquel il n’a pas droit vu son invalidité inférieure à 20%.</w:t>
      </w:r>
    </w:p>
    <w:p>
      <w:r>
        <w:rPr>
          <w:b/>
        </w:rPr>
        <w:t>E. 11</w:t>
      </w:r>
    </w:p>
    <w:p>
      <w:r>
        <w:t>Au vu de ce qui précède, le recours sera partiellement admis au sens des considérants. Etant donné que depuis le 1er juillet 2006, la procédure n’est plus gratuite (art. 69 al. 1bis LAI), l’intimé est condamné au paiement d’un émolument de 500 fr.</w:t>
      </w:r>
    </w:p>
    <w:p>
      <w:r>
        <w:t>A/264/2010 - 21/21 -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