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ATAS/694/2011 vom 6. Juli 2011</w:t>
      </w:r>
    </w:p>
    <w:p>
      <w:r>
        <w:t>GE Cour de justice, 2011-07-06, FR</w:t>
      </w:r>
    </w:p>
    <w:p>
      <w:r>
        <w:rPr>
          <w:b/>
        </w:rPr>
        <w:t xml:space="preserve">Quelle: </w:t>
      </w:r>
      <w:r>
        <w:t>https://mcp.opencaselaw.ch/entscheid/ge_gerichte_ATAS_694_2011</w:t>
      </w:r>
    </w:p>
    <w:p>
      <w:r>
        <w:t>FR: GE_GERICHTE ATAS/694/2011 du 6 juillet 2011</w:t>
      </w:r>
    </w:p>
    <w:p>
      <w:r>
        <w:t>IT: GE_GERICHTE ATAS/694/2011 del 6 luglio 2011</w:t>
      </w:r>
    </w:p>
    <w:p>
      <w:pPr>
        <w:pStyle w:val="Heading2"/>
      </w:pPr>
      <w:r>
        <w:t>Erwägungen</w:t>
      </w:r>
    </w:p>
    <w:p>
      <w:r>
        <w:rPr>
          <w:b/>
        </w:rPr>
        <w:t>E. 1</w:t>
      </w:r>
    </w:p>
    <w:p>
      <w:r>
        <w:t>Conformément à l'art. 56 V al. 1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w:t>
      </w:r>
    </w:p>
    <w:p>
      <w:r>
        <w:t>A/4094/2010 - 4/11 - assurances sociales, du 6 octobre 2000 (LPGA; RS 830.1) relatives à l’assurance- accidents obligatoire prévue par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1.2</w:t>
      </w:r>
    </w:p>
    <w:p>
      <w:r>
        <w:t>, 169 consid. 1, 356 consid. 1 et les arrêts cités). Dans la mesure où la rechute du recourant est intervenue en mai 2010 et que la décision litigieuse date d'octobre 2010, la LPGA est applicable au cas d'espèce, de même que la loi fédérale sur l'assurance-accidents (LAA) dans leur teneur actuelle.</w:t>
      </w:r>
    </w:p>
    <w:p>
      <w:r>
        <w:rPr>
          <w:b/>
        </w:rPr>
        <w:t>E. 2</w:t>
      </w:r>
    </w:p>
    <w:p>
      <w:r>
        <w:t>Aux termes de l'art. 1 al. 1 LAA, applicable au cas d'espèce, les dispositions de la loi fédérale du 6 octobre 2000 sur la partie générale du droit des assurances sociales (LPGA) s’appliquent à l’assurance-accidents, à moins que la loi n'y déroge expressément. La LPGA est entrée en vigueur le 1er janvier 2003, entraînant des modifications législatives notamment dans le droit de l'assurance-accidents.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w:t>
      </w:r>
    </w:p>
    <w:p>
      <w:r>
        <w:rPr>
          <w:b/>
        </w:rPr>
        <w:t>E. 3</w:t>
      </w:r>
    </w:p>
    <w:p>
      <w:r>
        <w:t>Interjeté dans les délais et la forme prescrite, le recours est recevable (art. 56 à 60 LPGA ; art. 89B de la loi sur la procédure administrative, du 12 septembre 1985 (LPA ; RS E 5 10)).</w:t>
      </w:r>
    </w:p>
    <w:p>
      <w:r>
        <w:rPr>
          <w:b/>
        </w:rPr>
        <w:t>E. 4</w:t>
      </w:r>
    </w:p>
    <w:p>
      <w:r>
        <w:t>Le litige porte sur le point de savoir si les frais du traitement dentaire en cause sont à la charge de l'intimée au titre d'une rechute de l'accident survenu en 1962.</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de l'assurance sont donc également versées en cas de rechutes ou de séquelles (art. 11</w:t>
      </w:r>
    </w:p>
    <w:p>
      <w:r>
        <w:t>A/4094/2010 - 5/11 - de l'ordonnance sur l'assurance-accidents, du 20 décembre 1982 (OLAA ;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ATF 8C_92/2010).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ou psychique de l'assuré,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b) Le droit à des prestations de l'assurance-accidents suppose en outre l'existence d'un lien de causalité adéquate entre l'accident et l'atteinte à la santé.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la référence; ATF non publié du 22 octobre 2008, 8C_628/2007),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 accidents répond aussi des complications les plus singulières et les plus graves qui ne se produisent habituellement pas selon l'expérience médicale (cf. ATF 118 V 291 consid. 3a, 117 V 364 consid. 5d/bb et les références).</w:t>
      </w:r>
    </w:p>
    <w:p>
      <w:r>
        <w:t>A/4094/2010 - 6/11 - c)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ou lorsque l'atteinte présumée guérie récidive, de sorte qu'elle conduit à un traitement médical ou à une incapacité de travail. On parle de séquelles tardives lorsqu'une atteinte apparemment guérie produit, au cours d'un laps de temps prolongé, des modifications organiques ou psychiques qui conduisent souvent à un état pathologique différent (ATF 123 V 138 consid. 3a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239 consid. 2c; RAMA 2006 n° U 570 p. 74 consid. 1.5.2, U 357/04; 2005 n° U 557 p. 388 consid. 3.2, U 244/04). En cas de rechute ou de séquelle tardive, l'obligation de l'assureur-accidents de répondre de la nouvelle atteinte à la santé n'est pas donnée du seul fait que l'existence d'un lien de causalité naturelle entre l'atteinte initiale et un accident a été reconnue. Les conséquences de l'absence de preuve d'un tel lien entre la nouvelle atteinte et l'accident doivent être supportées par l'assuré qui requiert des prestations de l'assurance-accidents pour ladite atteinte (RAMA 1994 n° U 206 p. 328 consid. 3b; ATF non publié U 192/06 du 10 avril 2007, consid. 3.2.2).</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w:t>
      </w:r>
    </w:p>
    <w:p>
      <w:r>
        <w:t>A/4094/2010 - 7/11 -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9C_773/2007 du 23 juin 2008, consid. 2.1).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I 592/99 du 13 mars 2000, consid. b/ee). Une expertise médicale établie sur la base d'un dossier peut avoir valeur probante pour autant que celui-ci contienne suffisamment d'appréciations médicales qui, elles, se fondent sur un examen personnel de l'assuré (cf. RAMA 2001 n° U 438 p. 346 consid. 3d).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 fondé du point de vue attaqué ou établir le caractère incomplet de celui-ci (arrêt 9C_578/2009 du 29 décembre 2009 consid. 3.2). Si l'administration ou le juge, se fondant sur une appréciation consciencieuse des preuves fournies par les investigations auxquelles ils doivent procéder d'office, sont convaincus que certains faits présentent un degré de vraisemblance prépondérante</w:t>
      </w:r>
    </w:p>
    <w:p>
      <w:r>
        <w:t>A/4094/2010 - 8/11 - et que d'autres mesures probatoires ne pourraient plus modifier cette appréciation, il est superflu d'administrer d'autres preuves (appréciation anticipée des preuves; ATF 122 II 469 consid. 4a, 122 III 223 consid. 3c).</w:t>
      </w:r>
    </w:p>
    <w:p>
      <w:r>
        <w:rPr>
          <w:b/>
        </w:rPr>
        <w:t>E. 7</w:t>
      </w:r>
    </w:p>
    <w:p>
      <w:r>
        <w:t>En l'espèce, le recourant requiert de l'intimée la prise en charge des frais dentaires alléguant que les complications aujourd'hui rencontrées sont une rechute ou encore une séquelle tardive de l'événement de 1962. Ainsi, le recourant estime que le lien de causalité entre l'accident et la nécessité, ce jour, de procéder au changement du bridge posé en 1990, soit vingt ans plus tôt, ne saurait être nié. Le recourant fonde sa requête sur les rapports de ses dentistes traitants, les Drs M________ et L________. Bien que ces deux spécialistes ne puissent conclure à l'existence d'un lien de causalité entre la rechute et l'accident de 1962 - n'ayant pas rencontré le patient au moment des faits, ni même suivi l'évolution de son cas -, ils s'accordent à dire que le bridge posé en 1990 (soit lors de la seconde rechute), bien qu'exécuté selon les règles déontologiques de l'époque, n'est plus adapté et qu'il est aujourd'hui indispensable qu'il soit changé. Dans leurs conclusions, les précités n'admettent nullement que les complications aujourd'hui rencontrées sont dues à un manque d'hygiène de la part du recourant, mais plutôt estiment-ils que la durée de vie d'un bridge ayant été posé vingt ans auparavant est atteinte et qu'il est tout-à-fait adéquat d'avoir à procéder à son changement après tant d'années. Quant à l'intimée, sur la base du rapport du Dr M________ et par l'entremise de son dentiste conseil, elle refuse toute prestation en faveur du recourant au motif que les complications dentaires ne sauraient être mises en lien de causalité naturelle avec l'accident de 1962. L'intimée conclut que seul un défaut d'hygiène peut être la cause des maux du précité. Dès lors, une rechute ou séquelle tardive ne saurait être admise. Or, en 1962, la SUVA avait pris en charge les frais de traitement relatifs à cet événement, ainsi que deux rechutes, la dernière datant de 1990. Il ressort ainsi du rapport établi par le Dr L________ en 1990 que la seconde rechute nécessitait la mise en place d'un bridge antero-supérieur sur les six dents avant (11-12-13-21-22- 23). Il est pour le moins surprenant que le dentiste conseil n'ait pas retenu qu'en 1990 déjà, le pont dentaire portait sur les six dents énumérées mais uniquement sur la 11 et la 21. Cette appréciation est en contradiction avec les déclarations du Dr L________ qui atteste, une fois encore en 2010, que le bridge a bel et bien été exécuté sur six dents en 1990. Il est d'autant plus étonnant que la durée de vie du bridge n'ait pas été analysée par l'intimée, alors que les dentistes traitants du recourant, dans leurs analyses, estiment que celle-ci est atteinte. En effet, il apparaît vraisemblable que des soins prodigués vingt ans plus tôt nécessitent une réintervention en raison de la durée. À ce titre, dans une affaire similaire, le TCAS avait retenu, à teneur d'expertise, que la péjoration d'un pont en céramique après vingt ans était évidente, de même que le fait d'avoir à procéder à son changement</w:t>
      </w:r>
    </w:p>
    <w:p>
      <w:r>
        <w:t>A/4094/2010 - 9/11 - (ATAS/543/2005). Or, cet aspect n'a pas été investigué à satisfaction de droit par l'intimée de même que les différentes causes possibles à l'origine des problèmes dentaires du recourant. En effet, dans son analyse, l'intimée estime que tant les caries que la paradontopathie sont imputables à un manque de soins et d'hygiène de la part du recourant, écartant la possibilité que ces problèmes dentaires-là soient non pas la cause mais la conséquence de la pose du bridge. L'intimée omet de s'interroger sur les hypothétiques motifs de la nécessité de procéder au changement du pont dentaire, concluant que seul un défaut d'hygiène peut en être la cause. Cette analyse n'est pas satisfaisante et de surcroit, pas suffisamment étayée. En effet, il convenait plutôt de s'interroger sur les causes des problèmes dentaires survenus en 2010 (caries, paradontopathie, changement du pont antéro-supérieur) ainsi que sur l'existence ou non d'un lien entre ces différents problèmes - raisons médicales, usure du temps, charge importante pour le reste de la dentition, risques liés à la pose d'un bridge. Le rapport du dentiste conseil n'apparaît pas suffisamment étayé et n'a pas une valeur probante suffisante pour que la Cour puisse s'y fier. En définitive, de l'avis de la Cours de céans, les investigations médicales effectuées par le conseil de l'intimée ne sont pas complètes. En effet, elles auraient dû distinguer les différentes causes susceptibles de donner lieu aux problèmes dentaires rencontrés par le recourant et expliquer en quoi une thèse s'avérait plus vraisemblable qu'une autre. Une étude plus précise aurait dû être effectuée par le dentiste conseil de l'intimée qui se contente de n'analyser qu'une hypothèse possible, écartant purement et simplement celles selon lesquelles l'usure du temps, le risque lié à la pose d'un bridge, ou encore des raisons médicales puissent être la cause des maux du recourant. Par ailleurs, la Cour de céans relève que c'est vraisemblablement à tort que le dentiste conseil retient que le bridge ne concerne que les dents 11 et 21, le rapport du Dr L________ de 1990 attestant du contraire.</w:t>
      </w:r>
    </w:p>
    <w:p>
      <w:r>
        <w:rPr>
          <w:b/>
        </w:rPr>
        <w:t>E. 8</w:t>
      </w:r>
    </w:p>
    <w:p>
      <w:r>
        <w:t>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w:t>
      </w:r>
    </w:p>
    <w:p>
      <w:r>
        <w:t>A/4094/2010 - 10/11 - celle-ci a constaté les faits de façon sommaire, dans l’idée que le tribunal les éclaircirait comme il convient en cas de recours (voir RAMA 1986 n° K 665 p. 87).</w:t>
      </w:r>
    </w:p>
    <w:p>
      <w:r>
        <w:rPr>
          <w:b/>
        </w:rPr>
        <w:t>E. 9</w:t>
      </w:r>
    </w:p>
    <w:p>
      <w:r>
        <w:t>Pour l'ensemble des motifs développés ci-dessus, la Cour de céans considère qu’il convient de renvoyer le dossier à l’intimée afin qu’elle effectue une instruction complémentaire sous la forme d'une expertise dentaire confiée à un expert indépendant. A l'issue de cette mesure complémentaire, il appartiendra à l’intimée de rendre une nouvelle décision sur le droit aux prestations d'assurance.</w:t>
      </w:r>
    </w:p>
    <w:p>
      <w:r>
        <w:rPr>
          <w:b/>
        </w:rPr>
        <w:t>E. 10</w:t>
      </w:r>
    </w:p>
    <w:p>
      <w:r>
        <w:t>Au vu de ce qui précède, le recours est partiellement admis et la cause renvoyée à l'intimée pour mise en œuvre d'une expertise dans le sens des considérants. Pour le surplus, la procédure est gratuite (art. 89H LPA).</w:t>
      </w:r>
    </w:p>
    <w:p>
      <w:r>
        <w:t>A/4094/2010 - 11/11 -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