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ATAS/694/2009 vom 20. Januar 2005</w:t>
      </w:r>
    </w:p>
    <w:p>
      <w:r>
        <w:t>GE Cour de justice, 2005-01-20, FR</w:t>
      </w:r>
    </w:p>
    <w:p>
      <w:r>
        <w:rPr>
          <w:b/>
        </w:rPr>
        <w:t xml:space="preserve">Quelle: </w:t>
      </w:r>
      <w:r>
        <w:t>https://mcp.opencaselaw.ch/entscheid/ge_gerichte_ATAS_694_2009</w:t>
      </w:r>
    </w:p>
    <w:p>
      <w:r>
        <w:t>FR: GE_GERICHTE ATAS/694/2009 du 20 janvier 2005</w:t>
      </w:r>
    </w:p>
    <w:p>
      <w:r>
        <w:t>IT: GE_GERICHTE ATAS/694/2009 del 20 gennaio 2005</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w:t>
      </w:r>
    </w:p>
    <w:p>
      <w:r>
        <w:t>A/3973/2008 - 9/13 - les conséquences juridiques font l'objet de la décision (ATF 129 V 1 consid. 1.2 p.</w:t>
      </w:r>
    </w:p>
    <w:p>
      <w:r>
        <w:rPr>
          <w:b/>
        </w:rPr>
        <w:t>E. 4</w:t>
      </w:r>
    </w:p>
    <w:p>
      <w:r>
        <w:t>Est litigieuse en l'occurrence la question de savoir si le recourant a rendu plausible une aggravation de son état de santé depuis la décision sur opposition du 3 juillet 2007 de l'intimé, obligeant ce dernier à entrer en matière sur la nouvelle demande. Il convient à cet égard de relever que le Tribunal de céans n'a pas été saisi d'un recours contre cette décision et qu'il ne l'a ainsi pas confirmée ni a reconnu au recourant une capacité de travail totale dans une activité adaptée, comme l'intimé l'allègue dans ses écritures du 6 avril 2009. En effet, l'arrêt rendu le 26 juillet 2006 concerne un refus de l'assistance juridique pendant la procédure d'opposition, mais non pas la procédure au fond.</w:t>
      </w:r>
    </w:p>
    <w:p>
      <w:r>
        <w:rPr>
          <w:b/>
        </w:rPr>
        <w:t>E. 5</w:t>
      </w:r>
    </w:p>
    <w:p>
      <w:r>
        <w:t>a)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consid. 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w:t>
      </w:r>
    </w:p>
    <w:p>
      <w:r>
        <w:t>A/3973/2008 - 10/13 -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Ce contrôle par l'autorité judiciaire n'est en revanche pas nécessaire lorsque l'administration est entrée en matière sur la nouvelle demande (ATF 109 V 114 consid. 2b). c)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w:t>
      </w:r>
    </w:p>
    <w:p>
      <w:r>
        <w:t>A/3973/2008 - 11/13 - Enfin,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d)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(cf. ATF non publié du 7 décembre 2004, I 326/04, consid. 4.1 ; VALLAT, La nouvelle demande de prestations AI et les autres voies permettant la modification de décisions en force, RSAS 2003, p. 396 ch. 5.1). e) Enfin,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A cet égard, le Tribunal fédéral des assurances a récemment précisé qu’il convenait de comparer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page 110 ss consid. 5). En modifiant sa jurisprudence antérieure, notre Haute Cour a admis que cela était également valable pour une décision faisant suite à une révision d’office du droit à la rente, qui se bornait à constater que le droit aux prestations ne s'était pas modifié.</w:t>
      </w:r>
    </w:p>
    <w:p>
      <w:r>
        <w:rPr>
          <w:b/>
        </w:rPr>
        <w:t>E. 6</w:t>
      </w:r>
    </w:p>
    <w:p>
      <w:r>
        <w:t>Le recourant se prévaut d'une incapacité de travail, sur la base du rapport du 7 mars 2008 du Dr R___________, médecin-conseil de l'OCE, et du rapport d'observation des maîtres socio-professionnels des HUG du 16 juin 2008. En cours de procédure, il a également produit un certificat médical de la Dresse M___________. Toutefois, dans la mesure où l'intimé n'était pas en possession de ce document, au moment de statuer sur l'entrée en matière sur la nouvelle demande de prestations d'invalidité du recourant, il ne peut être tenu compte de ce dernier document.</w:t>
      </w:r>
    </w:p>
    <w:p>
      <w:r>
        <w:t>A/3973/2008 - 12/13 - Les rapports du Drs R___________ et des maîtres socio-professionnels des HUG ne mettent pas en évidence une aggravation objectivable de l'état de santé du recourant. Ils font essentiellement état de ses limitations physiques dans l'exercice d'une activité professionnelle, même adaptée, sans que celles-ci puissent être expliquées par des atteintes somatiques indéniables. Partant, ces rapports ne rendent pas plausible une aggravation notable de l'état de santé, du moins pour l'exercice d'une activité professionnelle adaptée. Néanmoins, de l'avis de ces médecins, le recourant ne pourrait plus travailler aujourd'hui dans l'hôtellerie, alors même que l'expert, le Dr L___________, avait reconnu au recourant encore une capacité de travail de 80 % dans sa profession antérieure. L'avis du Dr R___________ et des maîtres socio-professionnels des HUG est par ailleurs partagé par le Dr S___________, dans son avis médical du 16 juillet 2008. Dans celui-ci, ce dernier admet en effet qu'à cause du port de plateaux, le travail de serveur est mal adapté pour une personne souffrant de la colonne vertébrale. Cela étant, il convient de considérer qu'une certaine aggravation des atteintes à la santé ou, du moins, une aggravation de la répercussion de ces atteintes sur la capacité de travail a été rendue plausible, dans la mesure où le recourant doit changer de profession pour des raisons médicales, de l'avis unanime des médecins, y compris le médecin-conseil de l'intimé. Dans ces conditions, même si l'exercice d'une activité adaptée reste possible, se pose la question des mesures d'ordre professionnel. Par conséquent, il convient de considérer que l'intimé a refusé à tort d'entrer en matière sur l'examen de telles mesures</w:t>
      </w:r>
    </w:p>
    <w:p>
      <w:r>
        <w:rPr>
          <w:b/>
        </w:rPr>
        <w:t>E. 7</w:t>
      </w:r>
    </w:p>
    <w:p>
      <w:r>
        <w:t>Au vu de ce qui précède, le recours sera admis, la décision dont est recours annulée et la cause renvoyée à l'intimé, afin qu'il entre en matière sur l'octroi de mesures d'ordre professionnel, notamment d'une orientation professionnelle.</w:t>
      </w:r>
    </w:p>
    <w:p>
      <w:r>
        <w:rPr>
          <w:b/>
        </w:rPr>
        <w:t>E. 8</w:t>
      </w:r>
    </w:p>
    <w:p>
      <w:r>
        <w:t>Le recourant obtenant gain de cause, une indemnité de 1'000 fr. lui est octroyée à titre de dépens.</w:t>
      </w:r>
    </w:p>
    <w:p>
      <w:r>
        <w:rPr>
          <w:b/>
        </w:rPr>
        <w:t>E. 9</w:t>
      </w:r>
    </w:p>
    <w:p>
      <w:r>
        <w:t>L'intimé qui succombe sera condamné au paiement d'un émolument de justice de 200 fr.</w:t>
      </w:r>
    </w:p>
    <w:p>
      <w:r>
        <w:t>A/3973/2008 - 13/13 -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