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ATAS/693/2019 vom 30. Juli 2019</w:t>
      </w:r>
    </w:p>
    <w:p>
      <w:r>
        <w:t>GE Cour de justice, 2019-07-30, FR</w:t>
      </w:r>
    </w:p>
    <w:p>
      <w:r>
        <w:rPr>
          <w:b/>
        </w:rPr>
        <w:t xml:space="preserve">Quelle: </w:t>
      </w:r>
      <w:r>
        <w:t>https://mcp.opencaselaw.ch/entscheid/ge_gerichte_ATAS_693_2019</w:t>
      </w:r>
    </w:p>
    <w:p>
      <w:r>
        <w:t>FR: GE_GERICHTE ATAS/693/2019 du 30 juillet 2019</w:t>
      </w:r>
    </w:p>
    <w:p>
      <w:r>
        <w:t>IT: GE_GERICHTE ATAS/693/2019 del 30 luglio 2019</w:t>
      </w:r>
    </w:p>
    <w:p>
      <w:pPr>
        <w:pStyle w:val="Heading2"/>
      </w:pPr>
      <w:r>
        <w:t>Erwägungen</w:t>
      </w:r>
    </w:p>
    <w:p>
      <w:r>
        <w:rPr>
          <w:b/>
        </w:rPr>
        <w:t>E. 1</w:t>
      </w:r>
    </w:p>
    <w:p>
      <w:r>
        <w:t>Dans l’arrêt incident du 7 décembre 2018, les questions de la recevabilité formelle et matérielle du recours ont déjà été tranchées, de sorte qu’il n’y a pas lieu d’y revenir.</w:t>
      </w:r>
    </w:p>
    <w:p>
      <w:r>
        <w:rPr>
          <w:b/>
        </w:rPr>
        <w:t>E. 2</w:t>
      </w:r>
    </w:p>
    <w:p>
      <w:r>
        <w:t>À teneur de l'art. 1 al. 1 LAI, les dispositions de la LPGA s'appliquent à l'assurance- invalidité, à moins que la loi n'y déroge expressément.</w:t>
      </w:r>
    </w:p>
    <w:p>
      <w:r>
        <w:rPr>
          <w:b/>
        </w:rPr>
        <w:t>E. 3</w:t>
      </w:r>
    </w:p>
    <w:p>
      <w:r>
        <w:t>Le litige porte sur le bien-fondé de la suppression, par voie de révision, de la rente entière d’invalidité – accordée au recourant depuis le 1er juin 2007 – avec effet au 1er décembre 2018.</w:t>
      </w:r>
    </w:p>
    <w:p>
      <w:r>
        <w:rPr>
          <w:b/>
        </w:rPr>
        <w:t>E. 4</w:t>
      </w:r>
    </w:p>
    <w:p>
      <w:r>
        <w:t>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w:t>
      </w:r>
    </w:p>
    <w:p>
      <w:r>
        <w:t>A/3891/2018 - 12/20 -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w:t>
      </w:r>
    </w:p>
    <w:p>
      <w:r>
        <w:t>A/3891/2018 - 13/20 -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A/3891/2018 - 14/20 -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g.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Tribunal fédéral 9C_58/2011 du 25 mars 2011 consid. 3.3). h. En ce qui concerne les rapports établis par les médecins traitants, le juge peut et doit tenir compte du fait que, selon l'expérience, le médecin traitant est généralement enclin, en cas de doute, à prendre parti pour son patient en raison de</w:t>
      </w:r>
    </w:p>
    <w:p>
      <w:r>
        <w:t>A/3891/2018 - 15/20 -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Une communication, au sens de l'art. 74ter let. f RAI, a valeur de base de comparaison dans le temps si elle résulte d'un examen matériel du droit à la rente (arrêt du Tribunal fédéral 9C_127/2014 du 15 mai 2014 consid. 2.2 et les références).</w:t>
      </w:r>
    </w:p>
    <w:p>
      <w:r>
        <w:rPr>
          <w:b/>
        </w:rPr>
        <w:t>E. 9</w:t>
      </w:r>
    </w:p>
    <w:p>
      <w:r>
        <w:t>juillet 2018, le Dr K______ mentionne des douleurs causant des réveils nocturnes. On observera enfin qu’il paraît douteux de retenir une pleine capacité de travail dans une activité adaptée après avoir fait part de difficultés à établir un rapport objectif entre la quantité de douleurs et la possibilité d’une activité professionnelle, ce d’autant plus que, selon l’expert, le degré d’incapacité s’était « plutôt aggravé » depuis 2006. En définitive, le rapport d’expertise du Dr M______ n’a pas de valeur probante dès lors qu’il est lacunaire, comporte des contradictions et n’est pas convaincant.</w:t>
      </w:r>
    </w:p>
    <w:p>
      <w:r>
        <w:rPr>
          <w:b/>
        </w:rPr>
        <w:t>E. 10</w:t>
      </w:r>
    </w:p>
    <w:p>
      <w:r>
        <w:t>Il reste à examiner si d’autres rapports médicaux appréciant la capacité de travail du recourant ont une valeur probante.</w:t>
      </w:r>
    </w:p>
    <w:p>
      <w:r>
        <w:t>A/3891/2018 - 18/20 - Dans son rapport du 5 octobre 2018, le médecin traitant considère qu’elle ne dépasse pas 50%. Comme le relève l’intimé, le Dr C______ justifie ce taux notamment par l’absence de formation du recourant, soit un facteur qui n’est pas d’ordre médical, de sorte qu’il est dépourvu de pertinence pour évaluer sa capacité résiduelle de travail (cf. arrêt du Tribunal fédéral 9C_271/2011 du 26 octobre 2011 consid. 4.1). Les conclusions de l’expertise du Dr E______ qui retiennent une capacité de travail de 100% dans une activité adaptée avec une diminution de rendement de 10% datent du 7 juillet 2012 et sont antérieures à la découverte des fragments osseux au voisinage du grand trochanter gauche, à la pose d’une prothèse de hanche totale à droite et à la mise en évidence d’un lupus systémique. Par conséquent, elles ne prennent pas en compte la situation médicale actuelle du recourant et n’ont pas de valeur probante. Par ailleurs, il y a lieu de relever que la mesure d’orientation professionnelle effectuée un peu plus d’une année après l’expertise du Dr E______, soit du 2 septembre au 31 octobre 2012, arrivait à la conclusion qu’à l’époque, le recourant n’était pas en mesure d’intégrer le marché du travail économique ordinaire, même dans une activité simple, légère et répétitive, avec possibilité d’alterner les positions toutes les demi-heures. Étant donné que les séquelles douloureuses à la hanche gauche n’ont guère évolué depuis cette période, il n’est pas vraisemblable que le recourant présente une pleine capacité de travail dans une activité adaptée. Compte tenu des difficultés en matière de preuve à établir l’existence de douleurs (en l’absence d’observation médicale concluante), les plaintes subjectives d’un 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(ATF 130 V 352 consid. 2.2.2; arrêt du Tribunal fédéral 9C_721/2011 précité, consid. 4.2). Force est d’admettre, en l’espèce, que les rapports médicaux versés au dossier ne permettent pas de fournir une explication claire et objective sur l’origine et l’importance des douleurs alléguées par le recourant. Eu égard à l’instruction incomplète de la situation médicale du recourant, la chambre de céans n’est pas en mesure de statuer sur l’existence de motifs de révision permettant à l’intimé de supprimer la rente entière d’invalidité, faute de renseignements fiables sur l’appréciation de la capacité de travail dans une activité adaptée et du rendement. Par conséquent, il y a lieu de procéder à une instruction complémentaire.</w:t>
      </w:r>
    </w:p>
    <w:p>
      <w:r>
        <w:rPr>
          <w:b/>
        </w:rPr>
        <w:t>E. 11</w:t>
      </w:r>
    </w:p>
    <w:p>
      <w:r>
        <w:t>a.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w:t>
      </w:r>
    </w:p>
    <w:p>
      <w:r>
        <w:t>A/3891/2018 - 19/20 -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l'expert (ATF 137 V 210 consid. 4.4.1.3 et 4.4.1.4; SVR 2010 IV n. 49 p. 151, consid. 3.5; arrêt du Tribunal fédéral 8C_760/2011 du 26 janvier 2012 consid. 3). b. En l’espèce, en raison de l’appréciation lacunaire et contradictoire par le Dr J______ de la capacité de travail du recourant dans une activité adaptée et de son rendement, ainsi que l’absence d’un avis rhumatologique détaillé et motivé évaluant les conséquences du lupus systémique, respectivement des douleurs articulaires sur la capacité de travail du recourant dans une activité adaptée, l’intimé aurait dû procéder à une instruction médicale complémentaire de la situation médicale, ce qu’il n’a pas fait. Par conséquent, son instruction de l’état de fait est lacunaire. Au vu de cette situation, il convient de renvoyer le dossier à l’intimé pour qu’il mette en œuvre une expertise orthopédique et rhumatologique auprès d’un centre d’expertise disposant d’un centre d’observation professionnelle, telle que la clinique romande de réadaptation, afin notamment d’évaluer l’importance des douleurs du recourant sur sa capacité de travail dans une activité adaptée et sur son rendement. Cette issue rend superflue l’analyse des autres griefs que soulève le recourant.</w:t>
      </w:r>
    </w:p>
    <w:p>
      <w:r>
        <w:rPr>
          <w:b/>
        </w:rPr>
        <w:t>E. 12</w:t>
      </w:r>
    </w:p>
    <w:p>
      <w:r>
        <w:t>Il se justifie, en conséquence, d’admettre partiellement le recours, d’annuler la décision de révision de rente du 10 octobre 2018 et de renvoyer la cause à l’intimé pour instruction complémentaire au sens des considérants, puis nouvelle décision. Le recourant étant représenté par un avocat et obtenant gain de cause, une indemnité de CHF 2'500.- lui sera accordée à titre de participation à ses frais et dépens (art. 61 let. g LPGA; art. 6 du règlement sur les frais, émoluments et indemnités en matière administrative du 30 juillet 1986 [RFPA - E 5 10.03]). Eu égard au sort du recours, il y a lieu de condamner l’intimé au paiement d'un émolument de CHF 200.- (art. 69 al. 1bis LAI).</w:t>
      </w:r>
    </w:p>
    <w:p>
      <w:r>
        <w:t>A/3891/2018 - 20/20 -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