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ATAS/693/2012 vom 23. Mai 2012</w:t>
      </w:r>
    </w:p>
    <w:p>
      <w:r>
        <w:t>GE Cour de justice, 2012-05-23, FR</w:t>
      </w:r>
    </w:p>
    <w:p>
      <w:r>
        <w:rPr>
          <w:b/>
        </w:rPr>
        <w:t xml:space="preserve">Quelle: </w:t>
      </w:r>
      <w:r>
        <w:t>https://mcp.opencaselaw.ch/entscheid/ge_gerichte_ATAS_693_2012</w:t>
      </w:r>
    </w:p>
    <w:p>
      <w:r>
        <w:t>FR: GE_GERICHTE ATAS/693/2012 du 23 mai 2012</w:t>
      </w:r>
    </w:p>
    <w:p>
      <w:r>
        <w:t>IT: GE_GERICHTE ATAS/693/2012 del 23 maggio 2012</w:t>
      </w:r>
    </w:p>
    <w:p>
      <w:pPr>
        <w:pStyle w:val="Heading2"/>
      </w:pPr>
      <w:r>
        <w:t>Erwägungen</w:t>
      </w:r>
    </w:p>
    <w:p>
      <w:r>
        <w:rPr>
          <w:b/>
        </w:rPr>
        <w:t>E. 13</w:t>
      </w:r>
    </w:p>
    <w:p>
      <w:r>
        <w:t>Par arrêt incident du 8 décembre 2010, le Tribunal a suspendu l’instruction de la présente procédure jusqu’à droit connu dans la procédure AVS, cause n° A/3140/2010.</w:t>
      </w:r>
    </w:p>
    <w:p>
      <w:r>
        <w:rPr>
          <w:b/>
        </w:rPr>
        <w:t>E. 14</w:t>
      </w:r>
    </w:p>
    <w:p>
      <w:r>
        <w:t>Par arrêt du 28 mars 2012 en la cause A/3140/2010, la Cour de céans a rejeté le recours de l’intéressé.</w:t>
      </w:r>
    </w:p>
    <w:p>
      <w:r>
        <w:rPr>
          <w:b/>
        </w:rPr>
        <w:t>E. 15</w:t>
      </w:r>
    </w:p>
    <w:p>
      <w:r>
        <w:t>Cet arrêt étant devenu définitif et exécutoire, la Cour de céans, par ordonnance du</w:t>
      </w:r>
    </w:p>
    <w:p>
      <w:r>
        <w:rPr>
          <w:b/>
        </w:rPr>
        <w:t>E. 16</w:t>
      </w:r>
    </w:p>
    <w:p>
      <w:r>
        <w:t>juin 2012, a repris l’instance et informé les parties que la cause était gardée à juger. EN DROIT 1. 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2. Interjeté dans le délai et la forme prescrits, le recours est recevable (art. 38A al. 1 de la loi cantonale sur les allocations familiales, du 1er mars 1996 (LAF ; RS J 5 10 ; art. 89B de la loi sur la procédure administrative, du 12 septembre 1985 LPA ; RS E 5 10). 3. L’objet du litige porte sur la responsabilité du recourant dans le dommage subi par l’intimée.</w:t>
      </w:r>
    </w:p>
    <w:p>
      <w:r>
        <w:t>A/3137/2010 - 5/6 - 4. Aux termes de l’art. 30 al. 3 LAF, l’employeur qui, intentionnellement ou par négligence grave, n’observe pas des prescriptions et cause ainsi un dommage au fonds cantonal de compensation des allocations familiales ou à la caisse d’allocations familiales est tenu de le réparer. L’art. 52 de la loi fédérale sur l’assurance-vieillesse et survivants, du 20 décembre 1946 (LAVS ; RS 831.10) s’applique par analogie. En l’espèce, la responsabilité du recourant a été admise par arrêt du Tribunal de céans en la cause A/3140/2010 (ATAS/433/2012), entré en force. Quant au montant du dommage, il n’est pas contesté par le recourant, étant rappelé que la contribution est fixée en pour-cent des salaires soumis à cotisations AVS (art. 27 al. 1 LAF). 5. Au vu de ce qui précède, le recours, mal fondé, est rejeté.</w:t>
      </w:r>
    </w:p>
    <w:p>
      <w:r>
        <w:t>A/3137/2010 - 6/6 -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