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ATAS/693/2010 vom 23. Juni 2010</w:t>
      </w:r>
    </w:p>
    <w:p>
      <w:r>
        <w:t>GE Cour de justice, 2010-06-23, FR</w:t>
      </w:r>
    </w:p>
    <w:p>
      <w:r>
        <w:rPr>
          <w:b/>
        </w:rPr>
        <w:t xml:space="preserve">Quelle: </w:t>
      </w:r>
      <w:r>
        <w:t>https://mcp.opencaselaw.ch/entscheid/ge_gerichte_ATAS_693_2010</w:t>
      </w:r>
    </w:p>
    <w:p>
      <w:r>
        <w:t>FR: GE_GERICHTE ATAS/693/2010 du 23 juin 2010</w:t>
      </w:r>
    </w:p>
    <w:p>
      <w:r>
        <w:t>IT: GE_GERICHTE ATAS/693/2010 del 23 giugno 2010</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Déposé dans les forme et délai prévus par la loi, le recours est recevable (art. 56 ss LPGA).</w:t>
      </w:r>
    </w:p>
    <w:p>
      <w:r>
        <w:rPr>
          <w:b/>
        </w:rPr>
        <w:t>E. 4</w:t>
      </w:r>
    </w:p>
    <w:p>
      <w:r>
        <w:t>La question qui se pose est de savoir si la recourante a droit à une rente d’invalidité pour la période postérieure au 31 décembre 2004, étant précisé qu'elle ne conteste pas le degré de 15% de l’atteinte à l’intégrité reconnu par l’intimé dans la décision litigieuse.</w:t>
      </w:r>
    </w:p>
    <w:p>
      <w:r>
        <w:rPr>
          <w:b/>
        </w:rPr>
        <w:t>E. 5</w:t>
      </w:r>
    </w:p>
    <w:p>
      <w:r>
        <w:t>Selon l'art. 6 al. 1 LAA, les prestations d'assurance sont allouées en cas d'accident professionnel, d'accident non professionnel et de maladie professionnelle.</w:t>
      </w:r>
    </w:p>
    <w:p>
      <w:r>
        <w:t>A/3196/2008 - 16/27 -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 et les références; FRESARD, L'assurance-accidents obligatoire, in : Schweizerisches Bundesverwaltungsrecht, n. 39). Dans le contexte de la suppression du droit à des prestations, la règle selon laquelle le fardeau de la preuve appartient à la partie qui invoque la suppression du droit (RAMA 2000 n° U 363 p. 46 consid. 2 et la référence), entre seulement en</w:t>
      </w:r>
    </w:p>
    <w:p>
      <w:r>
        <w:t>A/3196/2008 - 17/27 -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des assurances U 222/04 du 30 novembre 2004 ; arrêt du Tribunal fédéral des assurances U 66/04 du 14 octobre 2004 et arrêt du Tribunal fédéral des assurances U 159/04 du 4 octobre 2004).</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w:t>
      </w:r>
    </w:p>
    <w:p>
      <w:r>
        <w:t>A/3196/2008 - 18/27 - c) Sans remettre en cause le principe de la libre appréciation des preuves, le Tribunal fédéral des assurances a posé des lignes directrices en ce qui concerne la manière d'apprécier certains types d'expertises ou de rapports médicaux. L’on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7</w:t>
      </w:r>
    </w:p>
    <w:p>
      <w:r>
        <w:t>En l’occurrence, la recourante est d’avis que la fracture du mur antérieur D12, les cervico-brachialgies droites et les troubles psychiques sont dus à l’accident. Pour sa part, l’intimée soutient que seule la fracture du mur antérieur D12 est due à l’accident. Il résulte des pièces versées au dossier que suite à l’accident de circulation survenu le 4 juin 2001, la recourante a souffert d’une fracture du plateau supérieur marginal antérieur de D12 (rapport du 25 mars 2002 du Dr A__________). Un traitement conservateur a été prodigué, soit le port d’un corset pendant trois mois et des séances de physiothérapie. Deux ans après l’accident, la recourante présentait encore une fracture-tassement du mur antérieur D12 avec hypercyphose dorsale résiduelle (rapport d’expertise du 5 juin 2003 du Dr B_________, spécialiste FMH en chirurgie orthopédique). Compte tenu de la persistance des douleurs et de l’incapacité de travail de la recourante, le Dr F_________, spécialiste FMH en chirurgie orthopédique, a été mandaté d’un commun accord entre les parties. Dans son rapport du 20 décembre 2005, l’expert a diagnostiqué une fracture du mur antérieur de D12 avec une cyphose locale stabilisée à 15°, des cervico-brachialgies droites, une méniscose asymptomatique du genou droit et des troubles de l’humeur. Il a considéré que s’agissant de la fracture du mur antérieur, la causalité avec l’accident assuré était certaine, alors qu’elle était possible pour les cervico- brachialgies droites et les troubles de l’humeur. Enfin, s’agissant du genou droit, la causalité n’existait pas.</w:t>
      </w:r>
    </w:p>
    <w:p>
      <w:r>
        <w:t>A/3196/2008 - 19/27 - Le Tribunal de céans constate que le rapport du Dr F_________ se fonde sur un examen médical complet de la recourante et prend en considération les plaintes exprimées par celle-ci. Il a été établi en pleine connaissance de l'anamnèse ainsi que du dossier radiologique et médical. La description du contexte et l'appréciation de la situation médicale sont claires et non contradictoires. Enfin, les conclusions sont dûment motivées. Il convient d’examiner s’il existe des motifs justifiant de s’écarter de l’appréciation de l’expert quant au lien de causalité entre les diagnostics posés et l’événement du 4 juin 2001. Selon la recourante, contrairement à ce qu’a retenu l’expert, les cervico- brachialgies seraient en lien de causalité avec l’accident. Elle fait valoir qu’elle a été victime d’un coup du lapin. On relèvera d’ores et déjà qu’aucun médecin consulté n’a admis un lien de causalité entre l’accident et les cervico-brachialgies dont se plaint la recourante depuis mai 2004 (rapport du 11 mai 2004 du Dr A__________), soit trois ans après l’accident. Le Tribunal de céans constate en outre que les rapports médicaux établis dans les jours et les mois qui ont suivi l’accident, ne font nullement état des symptômes relevant du tableau clinique type des traumatismes consécutifs à un coups du lapin, tels que céphalées, migraines, paresthésies, troubles de la concentration, de la mémoire, de la vue, de l’ouïe, de l’équilibre, etc. (voir ATF 117 V 359). Quant aux indications fournies par la recourante aux experts s’agissant de l’apparition des cervicalgies, celles-ci ne concordent pas. En effet, la recourante a indiqué au Dr B_________ que lors du port du corset, des douleurs cervicales étaient apparues et avaient disparu un mois après l’arrêt du corset (rapport du 5 juin 2003 du Dr B_________). Elle a par contre indiqué au Dr F_________ qu’à la sortie de l’hôpital, elle avait présenté un torticolis et avait dû porter une minerve pendant deux mois. Quoi qu’il en soit, les seules douleurs à la tête et à la nuque ne suffisent pas pour retenir un traumatisme cervical de type coup du lapin (ATFA non publiés du 4 mars 2003, cause U 204/2003 et du 8 juin 2006, cause U 147/2005). La recourante fait également valoir que les troubles psychiques sont dus à l’accident. En l’occurrence, le Dr G_________, expert spécialiste FMH en psychiatrie, a diagnostiqué, dans son rapport du 26 mars 2007, un trouble panique et un épisode dépressif léger. Il n’a cependant pas examiné la question du lien de causalité entre ces troubles et l’accident assuré. Le Dr F_________ est, quant à lui, d’avis que la causalité est seulement possible. Son appréciation ne saurait cependant, sans autre, être retenue étant donné que la psychiatrie ne relève pas de sa spécialisation. Il n'est toutefois pas nécessaire de trancher ce point, car à supposer qu'il existe des troubles</w:t>
      </w:r>
    </w:p>
    <w:p>
      <w:r>
        <w:t>A/3196/2008 - 20/27 - psychiques en lien de causalité naturelle avec l'accident assuré, leur caractère adéquat fait de toute façon défaut pour les motifs suivants.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prendre en considération les sept critères exhaustifs suivants (cf. ATF 134 V 109 consid. 10.2) : les circonstances concomitantes particulièrement dramatiques ou le caractère particulièrement impressionnant de l’accident, la gravité ou la nature particulière des lésions, la durée anormalement longue du traitement médical, qui ne saurait plus être examinée uniquement en fonction de la durée dudit traitement, mais sur l’existence de traitements continus spécifiques et lourd, les douleurs persistantes, qui doivent être importantes, sans interruption et crédibles en regard de l’atteinte qu’elles occasionnent sur la vie de tous les jours, les erreurs dans le traitement médical entraînant une aggravation notable des séquelles de l’accident, les difficultés apparues au cours de la guérison et aux complications importantes, et enfin, le degré et la durée de l’incapacité de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115 V 133 consid. 6c/aa). En l’occurrence, force est de constater que l’on n’est pas, d’un point de vue objectif, en présence d’un accident grave au sens de la jurisprudence précitée. Il y a en outre lieu de nier l’existence de circonstances particulièrement dramatiques et le caractère particulièrement impressionnant de l’accident du 4 juin 2001. La déclaration d’accident révèle que la voiture dans laquelle la recourante était passagère arrière était arrêtée à un feu rouge, lorsqu’une voiture l’a percutée par l’arrière. Le fait que la recourante a dû être désincarcérée ne suffit pas à conférer à l'accident un caractère particulièrement impressionnant, ce d'autant moins que les autres passagers du véhicule en sont sortis indemnes. Quant au critère du degré et de la durée de l'incapacité de travail due aux lésions physiques, il n'est pas réalisé</w:t>
      </w:r>
    </w:p>
    <w:p>
      <w:r>
        <w:t>A/3196/2008 - 21/27 - dès lors qu'après une convalescence de six mois, la recourante a repris le travail à temps partiel. Enfin, le traitement n’a pas été anormalement long et la recourante n’a subi aucune complication importante. Ces éléments laissent peu de place pour reconnaître un caractère adéquat au rapport de causalité entre l'accident et l'incapacité de travail découlant des troubles psychiques diagnostiqués par le Dr G_________. Compte tenu de ce qui précède, seule la fracture du plateau supérieur marginal antérieur de D12 est en relation de causalité avec l’accident. S’agissant des répercussions de cette atteinte sur la capacité de travail de la recourante, le Dr F_________ a retenu, dans son rapport du 23 octobre 2009, qu’en raison des limitations fonctionnelles qu’elle présente, elle ne peut plus exercer l’activité accessoire de nettoyeuse de bureau. S’agissant de l’activité principale de femme de chambre, il a estimé qu’elle pouvait être exercée à plein temps avec une diminution de rendement de 50%. Interrogé par le Tribunal de céans sur l’aptitude de la recourante à exercer une activité sédentaire, l’expert a expliqué que l’on pouvait exiger de celle-ci une pleine capacité avec une diminution de rendement de l’ordre de 25 à 50% en fonction des activités annexes qu’impliquaient les professions sédentaires et qui ne tenaient pas forcément compte des restrictions fonctionnelles (flexion du tronc en avant, le port de charges supérieures à 20 kg et le déplacement en terrain accidenté). La recourante est d’avis que son activité principale auprès de Y__________ en tant que femme de chambre est la plus adaptée à son état de santé. Il résulte néanmoins des rapports établis par le médecin traitant que le travail exercé auprès de cet employeur est physiquement difficile et que la capacité de travail dans une telle activité est probablement compromise à moyen terme. Il pense que cette activité peut avoir une influence négative sur les douleurs dorsales, notamment en se baissant fréquemment et en levant les charges (rapports des 30 mars et 31 août 2004 du Dr A__________). Le 21 janvier 2005, ce médecin a encore précisé que les dorsalgies sont notamment incompatibles avec un travail debout. Or, force est de relever que l’activité de femme de chambre implique une telle position. Enfin, si le médecin traitant ne s’est pas prononcé sur le taux de capacité résiduelle dans une activité adaptée, il n’en demeure pas moins qu’il considère évident qu’un travail sédentaire de type administratif peut être accompli par la recourante (rapport du 17 janvier 2005). La recourante soutient également, en se référant à l’avis du Dr G_________, que l’adaptation à une nouvelle activité professionnelle risque fort de conduire à une péjoration de ses troubles psychiques. Il y a cependant lieu de relever que ces troubles n’étant pas en lien de causalité avec l’accident, leur aggravation éventuelle ne saurait en l’occurrence est prise en compte.</w:t>
      </w:r>
    </w:p>
    <w:p>
      <w:r>
        <w:t>A/3196/2008 - 22/27 - Par conséquent, au vu de la fourchette de 25% à 50% à l’intérieur de laquelle se situe la diminution de rendement pour une pleine capacité dans une activité sédentaire (rapport du 23 octobre 2009 du Dr F_________), il y a lieu de retenir la valeur médiane (cf. ATFA non publié du 21 avril 2005, I 822/04), soit 37,5% de diminution de rendement, ce qui correspond à une capacité résiduelle de travail de 62,5%. Il reste encore à examiner si l'évaluation du taux d'invalidité à laquelle a procédé l'intimée est conforme aux règles légales applicables ainsi qu'aux principes dégagés par la jurisprudence en la matière, étant précisé que l'assureur-accidents n'est pas lié par l'évaluation de l'invalidité effectuée par l'assurance-invalidité, même si elle est entrée en force (ATF 131 V 362 consid. 2.2; VSI 2004 p. 188 consid. 5; ATFA non publié du 30 août 2005, U 323/04, consid. 4.1).</w:t>
      </w:r>
    </w:p>
    <w:p>
      <w:r>
        <w:rPr>
          <w:b/>
        </w:rPr>
        <w:t>E. 8</w:t>
      </w:r>
    </w:p>
    <w:p>
      <w:r>
        <w:t>a) Si l'assuré est invalide à 10% au moins par suite d'un accident, il a droit à une rente d'invalidité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18 LAA). b)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 Contrairement à ce qui prévaut en assurance-invalidité, le revenu sans invalidité doit être établi sans égard au fait que l'assuré mettait à profit entièrement, ou en partie seulement, sa capacité de travail avant l'accident. Autrement dit, il faut rechercher quelles sont les possibilités de gain d'un assuré censé les utiliser pleinement. L'on prendra en considération un revenu hypothétique, fondé sur une estimation, qui tient compte des aptitudes de l'intéressé et de sa situation personnelle; l'on pourra se fonder sur le salaire réalisé par une personne valide de même âge et de même formation, dans des conditions de lieu analogues; les salaires moyens de la branche peuvent également servir de référence (ATF 119 V 475 consid. 2b). c) Quant au revenu de l'activité raisonnablement exigible, il doit être déterminé en se référant aux conditions d'un marché du travail équilibré et structuré offrant un</w:t>
      </w:r>
    </w:p>
    <w:p>
      <w:r>
        <w:t>A/3196/2008 - 23/27 - éventail d'emplois diversifiés. Il s'agit donc d'une notion théorique (FRÉSARD, L'assurance-accidents obligatoire, in: Schweizerisches Bundesverwaltungsrecht [SBVR], Soziale Sicherheit, Bâle, 1998, no 77). Si l'assuré ne réalise aucun revenu réel parce qu'il n'a plus repris d'activité depuis son invalidité ou du moins n'exerce pas l'activité que l'on pourrait raisonnablement exiger de lui, la comparaison peut se faire au moyen de tabelles statistiques publiées par l'Office fédéral de la statistique (ATF 126 V 76 consid. 3a/bb et les références) ou de données salariales résultant de descriptions de postes de travail (DPT) (ATF 129 V 472). S'agissant des statistiques, on se référera aux salaires bruts standardisés, en se fondant toujours sur la médiane ou valeur centrale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La déduction de 25 %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est déterminant, lors de la comparaison des revenus,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cf. aussi ATF 129 V 222).</w:t>
      </w:r>
    </w:p>
    <w:p>
      <w:r>
        <w:rPr>
          <w:b/>
        </w:rPr>
        <w:t>E. 9</w:t>
      </w:r>
    </w:p>
    <w:p>
      <w:r>
        <w:t>En l'espèce, il y a lieu de procéder à la comparaison des revenus en se référant à l'an 2005, le droit éventuel à une rente s'ouvrant à ce moment-là. Selon les renseignements fournis par les employeurs et versés à la procédure le 10 mars 2010, la recourante pourrait réaliser, sans atteinte à la santé, un revenu annuel de 46’087 fr. (12 x 3'840 fr. 60 pour l’activité principale en 2002) et de 9'491 fr. (16</w:t>
      </w:r>
    </w:p>
    <w:p>
      <w:r>
        <w:t>A/3196/2008 - 24/27 - fr. 85 x 10 x 52 + 8.33% pour l’activité accessoire en 2003). Compte tenu de l'augmentation des salaires nominaux (indice 2005 : 2386, indice 2003 : 2334, indice 2002: 2296 ; Evolution des salaires 2007, p. 23, tableau T1.39), le revenu annuel en 2005 était de 47'825 fr. (dans l’activité principale) et de 9'697 fr. (dans l’activité accessoire), soit un revenu total sans invalidité de 57'522 fr. Compte tenu de l'activité de substitution raisonnablement exigible de la part de la recourante dans un emploi adapté à son état de santé, le salaire de référence est celui auquel peuvent prétendre les femmes effectuant des activités simples et répétitives dans le secteur privé (RAMA 2001 n° U 439 p. 347), à savoir 3'893 fr. par mois (tous secteurs confondus) - valeur en 2004 - part au 13ème salaire comprise (L'enquête suisse sur la structure des salaires 2004, Tableau TA1, niveau de qualification 4), soit 46’716 fr. par année. Ce salaire hypothétique représente, compte tenu du fait que les salaires bruts standardisés se basent sur un horaire de travail de quarante heures, soit une durée hebdomadaire inférieure à la moyenne usuelle dans les entreprises en 2004 (41.6 heures; La Vie économique, 1/2 -2006, tableau B9.2) un revenu annuel de 48’584 fr. (46’716 fr. x 41.6 : 40), soit 30’365 fr. pour un taux d'occupation de 62.5%. Compte tenu de l’augmentation des salaires nominaux (+ 1.1% de 2004 à 2005), le revenu d’invalide doit être arrêté en 2005 à 30'699 fr. A ce montant, il convient, conformément à la jurisprudence, d'appliquer un facteur de réduction. A cet égard, le Tribunal de céans constate que l'intimée n'a effectué aucun abattement sur le salaire statistique qu'il a pris en compte, et ce sans en expliquer les raisons. Or, si la jurisprudence impose que la déduction opérée par l'administration soit brièvement motivée (art. 29 al. 2 Cst; ATF 126 V 75 consid. 5b/dd p. 80), tel devrait être également le cas, a fortiori, lorsqu'aucune réduction n'est opérée. Il convient dès lors d'examiner, dans le cas concret, quel taux de réduction doit être appliqué. S'agissant de la situation personnelle et professionnelle de la recourante, le Tribunal de céans constate qu’elle est au bénéfice d'un permis d'établissement, qu’elle est âgée de 54 ans au moment de la décision sur opposition et a été employée de longue date auprès de ses employeurs. Elle peut par ailleurs exercer une activité légère à plein temps avec un taux de rendement réduit. Ainsi, les critères de limitations liés aux années de service et à l’activité légère seule possible sont remplis, de sorte qu'une déduction de 10% au plus, apparaît justifiée. Compte tenu d'un tel abattement, le revenu annuel d'invalide évalué sur la base des statistiques salariales est ainsi de 27’629 fr. (valeur 2005).</w:t>
      </w:r>
    </w:p>
    <w:p>
      <w:r>
        <w:t>A/3196/2008 - 25/27 - La comparaison des revenus ((57'522 - 27’629) x 100 : 57’522) aboutit à un degré d'invalidité de 51,9%, taux qui confère à la recourante le droit à une rente d'invalidité de la part de l’intimée dès le 1er janvier 2005.</w:t>
      </w:r>
    </w:p>
    <w:p>
      <w:r>
        <w:rPr>
          <w:b/>
        </w:rPr>
        <w:t>E. 10</w:t>
      </w:r>
    </w:p>
    <w:p>
      <w:r>
        <w:t>Au vu de ce qui précède, le recours est partiellement admis. La décision litigieuse sera annulée dans la mesure où elle nie le droit à une rente et confirmée pour le surplus. La recourante obtenant gain de cause, une indemnité de 3’500 fr. lui sera accordée à titre de participation à ses frais et dépens (art. 61 let. g LPGA et 89H LPA). Pour le surplus, la procédure est gratuite (art. 61 let. a LPGA).</w:t>
      </w:r>
    </w:p>
    <w:p>
      <w:r>
        <w:t>A/3196/2008 - 26/27 -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