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ATAS/692/2012 vom 23. Mai 2012</w:t>
      </w:r>
    </w:p>
    <w:p>
      <w:r>
        <w:t>GE Cour de justice, 2012-05-23, FR</w:t>
      </w:r>
    </w:p>
    <w:p>
      <w:r>
        <w:rPr>
          <w:b/>
        </w:rPr>
        <w:t xml:space="preserve">Quelle: </w:t>
      </w:r>
      <w:r>
        <w:t>https://mcp.opencaselaw.ch/entscheid/ge_gerichte_ATAS_692_2012</w:t>
      </w:r>
    </w:p>
    <w:p>
      <w:r>
        <w:t>FR: GE_GERICHTE ATAS/692/2012 du 23 mai 2012</w:t>
      </w:r>
    </w:p>
    <w:p>
      <w:r>
        <w:t>IT: GE_GERICHTE ATAS/692/2012 del 23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A/3218/2011 - 7/10 -</w:t>
      </w:r>
    </w:p>
    <w:p>
      <w:r>
        <w:rPr>
          <w:b/>
        </w:rPr>
        <w:t>E. 2</w:t>
      </w:r>
    </w:p>
    <w:p>
      <w:r>
        <w:t>Les dispositions de la LPGA, entrée en vigueur le 1er janvier 2003, s’appliquent à l’AI, à moins que la présente loi ne déroge expressément à la LPGA (art. 1 al. 2 LAI).</w:t>
      </w:r>
    </w:p>
    <w:p>
      <w:r>
        <w:rPr>
          <w:b/>
        </w:rPr>
        <w:t>E. 3</w:t>
      </w:r>
    </w:p>
    <w:p>
      <w:r>
        <w:t>Interjeté dans le délai et la forme prévus par la loi, le recours est recevable (art. 56 et 60 LPGA ; art. 89B de la loi sur la procédure administrative, du 12 septembre 1985 - LPA ; RS E 5 10).</w:t>
      </w:r>
    </w:p>
    <w:p>
      <w:r>
        <w:rPr>
          <w:b/>
        </w:rPr>
        <w:t>E. 4</w:t>
      </w:r>
    </w:p>
    <w:p>
      <w:r>
        <w:t>Le litige porte sur le degré d’invalidité du recourant et par conséquent son droit éventuel à une rente de l’assurance-invalidité. Il porte plus particulièrement sur l’application concrète de la méthode extraordinaire d’évaluation, suite au renvoi de la cause par arrêt du TCAS du 1er octobre 2009.</w:t>
      </w:r>
    </w:p>
    <w:p>
      <w:r>
        <w:rPr>
          <w:b/>
        </w:rPr>
        <w:t>E. 5</w:t>
      </w:r>
    </w:p>
    <w:p>
      <w:r>
        <w:t>Dans un premier moyen, le recourant invoque la coordination entre les différentes branches des assurances sociales, relevant que la décision de la SUVA du 11 juillet 2008 retenant un degré d’invalidité de 50 % et lui reconnaissant le droit à une rente d’invalidité est entrée en force. En application du principe de coordination, il soutient avoir droit à une demi-rente d’invalidité, l’intimé étant lié par la décision de la SUVA. La Cour de céans relève que cette question a déjà été tranchée par le TCAS dans son arrêt du 1er octobre 2009 (ATAS/1195/2009), où il a été relevé que le taux d’invalidité fixé par transaction ne saurait lier l’intimé. Il n’y a dès lors pas lieu d’y revenir.</w:t>
      </w:r>
    </w:p>
    <w:p>
      <w:r>
        <w:rPr>
          <w:b/>
        </w:rPr>
        <w:t>E. 6</w:t>
      </w:r>
    </w:p>
    <w:p>
      <w:r>
        <w:t>a) Dans un second grief, le recourant conteste la pondération des champs d’activités retenue par l’intimé. Selon l’intimé, avant l’atteinte à la santé, la répartition des champs d’activités du recourant était la suivante : • direction et administration 50 % • travaux lourds</w:t>
      </w:r>
    </w:p>
    <w:p>
      <w:r>
        <w:t>40 % • travaux légers</w:t>
      </w:r>
    </w:p>
    <w:p>
      <w:r>
        <w:rPr>
          <w:b/>
        </w:rPr>
        <w:t>E. 10</w:t>
      </w:r>
    </w:p>
    <w:p>
      <w:r>
        <w:t>% Total</w:t>
      </w:r>
    </w:p>
    <w:p>
      <w:r>
        <w:t>100 %</w:t>
      </w:r>
    </w:p>
    <w:p>
      <w:r>
        <w:t>Le recourant allègue que selon rapport de la SUVA du 15 janvier 2007 et du rapport d’enquêtes pour activité professionnelle indépendante du 17 octobre 2008, avant l’invalidité, il travaillait à raison de 75 % en atelier et 25 % au bureau. Il conteste la note de travail établie par le collaborateur de l’intimé le 12 avril 2010, considérant qu’elle ne reflète pas ses déclarations et soutient qu’il n’est pas possible de faire la distinction entre les travaux lourds et les travaux légers de mécanique,</w:t>
      </w:r>
    </w:p>
    <w:p>
      <w:r>
        <w:t>A/3218/2011 - 8/10 - car il s’agit d’un garage de poids lourds et tous les mécaniciens doivent à un moment ou à un autre effectuer des travaux lourds. L’intimé relève pour sa part les nombreuses contradictions dans les déclarations successives du recourant en ce qui concerne la répartition des tâches. Il a par conséquent retenu la première affirmation qui avait été faite lors de l’entretien avec le service de réadaptation le 5 septembre 2002 : le recourant avait affirmé que son activité consistait à gérer l’entreprise et les relations clients, qu’il travaillait à temps complet et était occupé à 50 % par de l’administratif. Par ailleurs, lors de son audition en avril 2010 en vue de déterminer la ventilation des travaux réalisés en atelier, le recourant a précisé que le 50 % de son temps de travail était consacré aux travaux de direction et d’administration, 40 % aux travaux de mécanique lourds (embrayages, moteurs, freins, etc.) et 10 % était consacré aux travaux de mécanique légers (vidanges, petits bricolages). L’intimé s’est ainsi fondé sur les premières déclarations du recourant. La Cour de céans constate que lors du dépôt de la première demande de prestations, le recourant avait effectivement déclaré qu’il consacrait 50 % de son temps aux travaux administratifs et de direction. Or, à cette époque, son entreprise datait de 3 ans à peine et comptait 8 employés, dont 2 à mi-temps pour les travaux administratifs. En 2007, lors de l’enquête SUVA, alors que l’entreprise comptait entre 13 et 15 employés, le recourant a déclaré qu’il consacrait 25 % de son temps à l’activité commerciale et 75 % en atelier (travaux lourds). Lors de l’enquête de 2008, il est apparu qu’il y avait une quinzaine d’employés, le recourant ayant dû par ailleurs engager un chef d’atelier en 2007, non seulement pour le remplacer dans l’exécution des tâches manuelles qu’il ne pouvait plus accomplir, mais également en raison de l’accroissement des tâches à accomplir en raison du développement de l’entreprise. Enfin, en 2009, l’entreprise en raison individuelle a été transformée en société anonyme et le recourant est, depuis lors, au bénéfice d’un contrat de travail en tant que directeur commercial, à 50 %. Au vu du développement de l’entreprise, la Cour de céans estime cependant douteux que la part consacrée aux activités commerciales ait diminué, pour passer de 50 % à 25 % entre 2003 et 2007. Cela étant, la question de savoir si le recourant consacrait 25 % ou 50 % de son temps aux activités administratives et de direction avant l’invalidité peut rester ouverte. En effet, quoi qu’il en soit, il convient de rappeler que le recourant a l’obligation de réduire le dommage et, dans ce contexte, il est parfaitement exigible qu’après son atteinte à la santé, il réorganise son entreprise et augmente le temps consacré aux travaux de direction et d’administration. A cet égard, la part retenue par l’intimé de 50 % apparaît comme un minimum. La Cour de céans relève que l’intimé avait d’ailleurs estimé dans un premier temps que le recourant pouvait augmenter de 10 % la part consacrée aux travaux de direction et d’administration, pour ensuite retenir qu’un transfert des activités opérationnelles vers les activités de direction n’était pas possible en raison de la structure de l’entreprise.</w:t>
      </w:r>
    </w:p>
    <w:p>
      <w:r>
        <w:t>A/3218/2011 - 9/10 - Au vu de ce qui précède, la Cour de céans considère que la pondération des champs d’activités retenue par l’intimé ne prête pas flanc à la critique, la part de 50 % pour les activités commerciales et de direction apparaissant comme un minimum exigible au vu du développement de l’entreprise, étant rappelé que depuis 2009 et après réorganisation, le recourant a formalisé ce fait par un contrat de travail conclu avec l’entreprise. S’agissant de la ventilation des activités pratiquées en atelier, le recourant considère qu’elle est théorique. Cela étant, contrairement à ce que soutient le recourant, il n’est pas invraisemblable que des travaux légers soient en réalité effectués, même pour des poids lourds. A cet égard, l’intimé a cité les vidanges ainsi que les petits bricolages, à raison de 10 %. Cette appréciation, faite au demeurant après audition du recourant, n’apparaît pas déraisonnable et sera entérinée par la Cour de céans. b) En tenant compte des limitations fonctionnelles présentées par le recourant en raison des atteintes à l’épaule et au poignet gauche (cf. rapport SUVA du 19 décembre 2007), il convient de retenir une incapacité de travail de 100 % dans les activités lourdes en atelier qui représentent 40 % des champs d’activités, et une capacité de travail de 100 % sans diminution de rendement dans les activité légères et les travaux administratifs et de direction. Par conséquent, en application de la méthode extraordinaire, le degré d’invalidité du recourant s’élève à 38 %, les chiffres retenus par l’intimé n’étant pas contestés. Ce taux est insuffisant pour ouvrir droit à une rente de l’assurance-invalidité. Pour le surplus, le recourant ne prétend pas à l’octroi de mesures professionnelles. 7. Au vu de ce qui précède, mal fondé, le recours est rejeté. 8. Selon l'art. 61 LPGA, la procédure devant le tribunal cantonal des assurances est gratuite pour les parties (let. a). L'art. 69 al. 1bis LAI (en vigueur depuis le 1er juillet 2006) déroge cependant à cette disposition dans la mesure où il soumet à des frais judiciaires les procédures portant sur des contestations relatives à l'octroi ou au refus de prestations de l'assurance-invalidité. Les frais judiciaires sont généralement mis à la charge de la partie qui succombe, quel que soit le rôle (recourant ou intimé) joué dans la procédure (arrêt du Tribunal fédéral 8C_40/2009 du 13 mars 2009 consid. 3.1 et la référence). Au vu du sort du litige, un émolument de 500 fr. est mis à la charge du recourant.</w:t>
      </w:r>
    </w:p>
    <w:p>
      <w:r>
        <w:t>A/3218/2011 - 10/10 -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