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ATAS/691/2024 vom 13. September 2024</w:t>
      </w:r>
    </w:p>
    <w:p>
      <w:r>
        <w:t>GE Cour de justice, 2024-09-13, FR</w:t>
      </w:r>
    </w:p>
    <w:p>
      <w:r>
        <w:rPr>
          <w:b/>
        </w:rPr>
        <w:t xml:space="preserve">Quelle: </w:t>
      </w:r>
      <w:r>
        <w:t>https://mcp.opencaselaw.ch/entscheid/ge_gerichte_ATAS_691_2024</w:t>
      </w:r>
    </w:p>
    <w:p>
      <w:r>
        <w:t>FR: GE_GERICHTE ATAS/691/2024 du 13 septembre 2024</w:t>
      </w:r>
    </w:p>
    <w:p>
      <w:r>
        <w:t>IT: GE_GERICHTE ATAS/691/2024 del 13 settembre 2024</w:t>
      </w:r>
    </w:p>
    <w:p>
      <w:pPr>
        <w:pStyle w:val="Heading2"/>
      </w:pPr>
      <w:r>
        <w:t>Erwägungen</w:t>
      </w:r>
    </w:p>
    <w:p>
      <w:r>
        <w:rPr>
          <w:b/>
        </w:rPr>
        <w:t>E. 1.1</w:t>
      </w:r>
    </w:p>
    <w:p>
      <w:r>
        <w:t>La compétence de la chambre de céans et la recevabilité du recours ont été examinées dans l’ordonnance d’expertise du 8 mars 2024. Il suffit d'y renvoyer.</w:t>
      </w:r>
    </w:p>
    <w:p>
      <w:r>
        <w:rPr>
          <w:b/>
        </w:rPr>
        <w:t>E. 1.2</w:t>
      </w:r>
    </w:p>
    <w:p>
      <w:r>
        <w:t>À teneur de l'art. 1 al. 1 de la loi fédérale sur l'assurance-accidents, du 20 mars 1981 (LAA - RS 832.20), les dispositions de la LPGA s'appliquent à l'assurance- accidents, à moins que la loi n'y déroge expressément.</w:t>
      </w:r>
    </w:p>
    <w:p>
      <w:r>
        <w:rPr>
          <w:b/>
        </w:rPr>
        <w:t>E. 2</w:t>
      </w:r>
    </w:p>
    <w:p>
      <w:r>
        <w:t>Le litige porte sur le droit du recourant aux prestations de l'assurance-accidents pour la période postérieure au 8 avril 2022, singulièrement sur l'existence d'un lien de causalité entre les troubles invoqués et l'accident du 28 août 2014.</w:t>
      </w:r>
    </w:p>
    <w:p>
      <w:r>
        <w:rPr>
          <w:b/>
        </w:rPr>
        <w:t>E. 3.1</w:t>
      </w:r>
    </w:p>
    <w:p>
      <w:r>
        <w:t>Le 1er janvier 2017 est entrée en vigueur la modification du 25 septembre 2015 de la LAA. Dans la mesure où l'accident est survenu avant cette date (le 28 août 2014), le droit du recourant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w:t>
      </w:r>
    </w:p>
    <w:p>
      <w:r>
        <w:rPr>
          <w:b/>
        </w:rPr>
        <w:t>E. 3.2</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3.3</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w:t>
      </w:r>
    </w:p>
    <w:p>
      <w:r>
        <w:t>A/1700/2023 - 13/21 -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3.3.1</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3.3.2</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3.3.3</w:t>
      </w:r>
    </w:p>
    <w:p>
      <w:r>
        <w:t>En cas de lombalgies et lombosciatalgies, la jurisprudence admet qu’un accident a pu décompenser des troubles dégénératifs préexistants au niveau de la colonne lombaire, auparavant asymptomatiques. En l’absence d’une fracture ou d’une autre lésion structurelle d’origine accidentelle, elle considère toutefois que</w:t>
      </w:r>
    </w:p>
    <w:p>
      <w:r>
        <w:t>A/1700/2023 - 14/21 - selon l’expérience médicale, le statu quo sine est atteint, au degré de la vraisemblance prépondérante, en règle générale après six à neuf mois, au plus tard après une année. Il n’en va différemment que si l’accident a entraîné une péjoration déterminante, laquelle doit être établie par des moyens radiologiques et se distinguer d’une évolution ordinaire liée à l’âge (arrêt du Tribunal fédéral 8C_50/2023 du 14 septembre 2023 consid. 7.1 et les références).</w:t>
      </w:r>
    </w:p>
    <w:p>
      <w:r>
        <w:rPr>
          <w:b/>
        </w:rPr>
        <w:t>E. 3.3.4</w:t>
      </w:r>
    </w:p>
    <w:p>
      <w:r>
        <w:t>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w:t>
      </w:r>
    </w:p>
    <w:p>
      <w:r>
        <w:rPr>
          <w:b/>
        </w:rPr>
        <w:t>E. 3.3.5</w:t>
      </w:r>
    </w:p>
    <w:p>
      <w:r>
        <w:t>Les lésions énumérées à l’art. 9 al. 2 de l'ordonnance sur l'assurance- accidents du 20 décembre 1982 (OLAA - RS 832.202) ‒ dont notamment les fractures (let. a) et les déchirures de tendons (let. f) ‒ en vigueur jusqu’au 31 décembre 2016 seront assimilées à un accident aussi longtemps que leur origine maladive ou dégénérative, à l’exclusion d’une origine accidentelle, ne peut être tenue pour manifeste. On ne se fondera donc pas simplement sur le degré de vraisemblance prépondérante pour admettre l'évolution d'une telle atteinte vers un statu quo sine.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(arrêts du Tribunal fédéral 8C_110/2016 du 16 novembre 2016 consid. 6.2 ; U.162/2006 du 10 avril 2004 consid. 4.2).</w:t>
      </w:r>
    </w:p>
    <w:p>
      <w:r>
        <w:rPr>
          <w:b/>
        </w:rPr>
        <w:t>E. 3.4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U.351/04 du 14 février 2006 consid. 3.2).</w:t>
      </w:r>
    </w:p>
    <w:p>
      <w:r>
        <w:t>A/1700/2023 - 15/21 -</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A/1700/2023 - 16/21 -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6.1</w:t>
      </w:r>
    </w:p>
    <w:p>
      <w:r>
        <w:t>En l'espèce, l'intimée a supprimé les prestations d'assurance avec effet ex nunc et pro futuro à partir du 8 avril 2022, en s'appuyant sur le rapport d'expertise orthopédique du 13 mars 2021 et son complément du 6 octobre 2021. Cette expertise administrative a toutefois été jugée non probante par la chambre de céans par ordonnance du 8 mars 2024, de sorte qu'une expertise judiciaire a été ordonnée. Le rapport d'expertise judiciaire du 3 juin 2024, établi par un spécialiste de la discipline médicale ici pertinente (chirurgie orthopédique, en particulier de la hanche et du genou), comprend l'anamnèse, les données objectives du dossier, soit les pièces médicales, y compris radiologiques (de même que celles fournies par le recourant), les données subjectives du recourant, l'examen clinique (et donc les constatations objectives), ainsi qu'une discussion du cas. L'expert s'est également déterminé sur les avis médicaux au dossier, en particulier sur ceux des médecins d'arrondissement de l'intimée ainsi que sur celui de l'expert administratif. Les conclusions de l'expert judiciaire sont claires et bien motivées. En l'absence de rapport médical les remettant en cause, elles emportent la conviction. L'expertise judiciaire remplit ainsi tous les réquisits jurisprudentiels pour qu'il lui soit reconnu une pleine valeur probante. Sur le fond, l'expert judiciaire a posé, en lien de causalité avec l'accident du 28 août 2014, les diagnostics de contusion du genou gauche et de traumatisme du massif facial avec fracture des os du nez et multiples avulsions dentaires. Les diagnostics, sans lien de causalité avec cet accident, étaient : - au niveau du genou gauche, une tendinopathie chronique du tendon rotulien avec entésopathie calcifiante, un status post-excision d'une entésopathie calcifiante du tendon rotulien proximal, débridement d'une tendinopathie chronique et suture du tendon rotulien le 19 février 2015, une méniscopathie dégénérative de la corne postérieure du ménisque interne, et un status post- reprise d'excision d'entésopathie calcifiante du tendon rotulien proximal, bursectomie, dénervation hémicirconférentielle de la rotule et résection de plica le 14 juin 2017 ; - au niveau du genou droit, une tendinopathie chronique du tendon rotulien avec entésopathie calcifiante, un status post-suture de la corne postérieure du ménisque interne, status post-résection partielle du ménisque externe,</w:t>
      </w:r>
    </w:p>
    <w:p>
      <w:r>
        <w:t>A/1700/2023 - 17/21 - chondroplastie du condyle fémoral interne, résection d'une plica et de corps libres associée à une synovectomie le 5 décembre 2018, et un status post- reprise arthroscopique avec résection partielle du ménisque interne et externe, dénervation de la patella, débridement cartilagineux le 30 octobre 2019 ; - au niveau du rachis lombaire, une discopathie dégénérative L5-S1 et L4-L5 ; - au niveau de la cheville gauche, une tendinopathie calcifiante du tendon d'Achille ; et - au niveau de la cheville droite, un status post-kystes arthro-synoviaux développés aux dépens de l'articulation talo-crural, associés à une tendinite des tendons péroniers, et un status post-plastie de bolstrom gould, débridement cartilagineux tibiotalien, levée de conflit, ablation de kystes arthrosynoviaux le 30 octobre 2019. L'expert judiciaire a comparé les clichés radiologiques du genou gauche d'octobre 2012 avec ceux d'août 2014, et constaté qu'en 2012, soit avant l'accident, il y avait déjà des irrégularités au niveau de l'extrémité distale du tendon rotulien, mal définies, évocatrices d'un début de tendinopathie calcifiante, sans défaut d'ossification secondaire qui serait compatible avec une maladie de Sinding- Larsen-Johansson. Sur la base de cette radiographie de 2012, il excluait avec certitude le diagnostic de maladie de Sinding-Larsen-Johansson. La radiographie du 28 août 2014 mettait en évidence le développement d'un éperon rotulien au niveau de l'extrémité distale de la rotule, correspondant à une entésopathie calcifiante du tendon rotulien, c'est-à-dire une inflammation chronique du tendon rotulien aboutissant à sa calcification. Le fragment osseux, noyé dans le tendon rotulien, était parfaitement corticalisé excluant une fracture aiguë. Il s'agissait d'une image typique d'un ilot condensant d'entésopathie calcifiante voué, dans les années suivantes, à se rattacher à l'éperon par progression de la calcification de cette entésopathie inflammatoire. Ces constatations étaient raccord avec l'IRM du genou gauche du 15 septembre 2014, réalisée moins de trois semaines après l'événement : le fragment osseux (qui était un ilot condensant d'entésopathie calcifiante) ne présentait aucun hypersignal en son sein, alors qu'une fracture fraîche aurait montré un volumineux hpyersignal T2 en son sein. Par contre, était relevé un petit hypersignal dans le tendon rotulien, entre l'éperon et cet ilot condensant, compatible avec une tendinopathie chronique et s'incluant parfaitement dans ce diagnostic d'entésopathie calcifiante. L'expert judiciaire a exposé que, si dans le protocole opératoire du 19 février 2015, le diagnostic retenu était celui de « fracture d'un éperon rotulien distal avec rupture partielle du tendon rotulien gauche », l'intervention chirurgicale avait en revanche consisté en l'excision d'une calcification et de l'ossification, associée à un débridement tendineux. Or, la calcification, l'ossification et le débridement osseux étaient des notions étrangères à une fracture, à l'inverse d'une excision de fragment osseux libre secondaire à une pseudarthrose. L'intitulé opératoire était</w:t>
      </w:r>
    </w:p>
    <w:p>
      <w:r>
        <w:t>A/1700/2023 - 18/21 - donc compatible avec celui de l'excision d'une entésopathie calcifiante. La réinsertion du tendon rotulien proximal s'expliquait par le fait qu'en cas d'excision d'une entésopathie calcifiante dans le contexte de tendinopathie chronique du tendon rotulien, une partie du tendon rotulien était détachée, puis rattachée. Du reste, la prescription de physiothérapie du 14 juillet 2015 mentionnait un status post-cure de tendinopathie du genou gauche, soit un diagnostic compatible avec celui posé par l'expert judiciaire, mais incompatible avec le traitement d'une pseudarthrose. Le diagnostic d'entésopathie calcifiante du tendon rotulien gauche proximal était renforcé par le fait que l'opération du 19 février 2015 n'avait pas apporté d'amélioration. Une prise en charge chirurgicale d'une fracture du pôle inférieur de la rotule avec pseudarthrose aboutissait en général à de bons résultats dans les deux à trois mois, à l'inverse des chirurgies dans le contexte de tendinopathie chronique avec calcification. In casu, une deuxième intervention chirurgicale avait été effectuée le 14 juin 2017 avec un émondage, c'est-à-dire la résection de l'entésopathie calcifiante rattachée au pôle inférieur de la rotule dans le tendon rotulien, associé à une bursectomie, à nouveau sans aucune amélioration. L'expert judiciaire a relevé que les appréciations des médecins d'arrondissement de l'intimée ne comportaient aucune discussion des pièces radiologiques ni des diagnostics erronés figurant au dossier (qu'ils reprenaient simplement), et elles n'étaient pas non plus motivées en ce qui concernait le lien de causalité. Le diagnostic de limitation fonctionnelle du genou gauche retenu lors de l'examen final de l'assuré le 6 décembre 2017 n'en était pas un. Il s'agissait tout au plus d'une constatation. Pour ces raisons, les appréciations de ses confrères ne pouvaient pas être suivies. Il en a conclu que l'accident du 28 août 2014 avait entraîné une contusion du genou gauche s'inscrivant dans un contexte de tendinopathie chronique du tendon rotulien avec entésopathie calcifiante. Pour une contusion, le statu quo sine était fixé au plus tard à trois mois de l'événement, soit au 28 novembre 2014. Les opérations entre février 2015 et juin 2017 relevaient strictement du status antérieur à type de tendinopathie chronique du tendon rotulien avec entésopathie calcifiante, laquelle n'avait pas été aggravée par l'événement litigieux, mais seulement révélée au moment des opérations. La symptomatologie plaintive au- delà de fin 2014 était strictement liée à cette tendinopathie, et dans une moindre mesure à la méniscopathie dégénérative de la corne postérieure du ménisque interne, antérieure à l'événement. En ce qui concernait les lombalgies, apparues à l'été 2018, l'« origine multifactorielle » des atteintes dégénératives mise en évidence sur l'IRM du 3 septembre 2018 se rapportait à des éléments radiologiques. Le rétrécissement foraminal révélé sur cette imagerie était due d'une part à la discopathie dégénérative à base large en avant et d'autre part à l'arthrose facettaire débutante</w:t>
      </w:r>
    </w:p>
    <w:p>
      <w:r>
        <w:t>A/1700/2023 - 19/21 - en arrière. Le lien de causalité entre la symptomatologie lombaire, survenue près de quatre ans après l'accident, et ce dernier était exclu. S'agissant de la boiterie, le lien de causalité était également exclu, en l'absence notamment de syndrome radiculaire. Quant à la symptomatologie au genou droit, le recourant s'en plaignait depuis février 2016, plus d'une année et demi après l'événement. Or, lors de l'examen par le médecin d'arrondissement le 25 mai 2016, ainsi que lors du séjour à la CRR entre juillet et août 2016, aucune boiterie n'avait été constatée. En l'absence de traumatisme sur ce genou le 28 août 2014 et en l'absence de toute symptomatologie plaintive jusqu'à février 2016, le lien de causalité avec l'accident du 28 août 2014 était tout au plus possible, voire exclu. Pour ce qui était de la cheville droite, la symptomatologie n'était survenue que fin 2015. L'IRM du 10 décembre 2015 ne révélait aucune lésion d'allure traumatique aiguë, mais une entésopathie calcifiante au niveau du tendon d'Achille, pathologie similaire à celle ayant atteint le tendon rotulien, associée à des kystes arthro- synoviaux développés aux dépens de l'articulation talo-naviculaire. Il s'agissait de pathologies d'ordre strictement inflammatoire et dégénérative. Il résulte de ce qui précède que seule la contusion au genou gauche était imputable à l'accident du 28 août 2014, ce jusqu'au 28 novembre 2014. Les autres lésions au rachis lombaire ainsi qu'aux membres inférieurs des deux côtés dont s'est plaint le recournant pour la première fois entre fin décembre 2015 et l'été 2018 résultaient exclusivement de maladies antérieures qui n'avaient pas pu être décompensées par l'évènement assuré. Les arguments avancés par le recourant dans ses observations du 26 août 2024 ne permettent pas de s'écarter des conclusions étayées de l'expert judiciaire. En effet, contrairement à ce que prétend le recourant, il était bel et bien assisté d'une interprète en langue espagnole, sa langue maternelle (rapport d'expertise judiciaire p. 6, 26 et 46 ; convocation de l'interprète du 9 avril 2024 par la chambre de céans). Dans la mesure où la question d'un éventuel lien de causalité naturelle entre l'accident et les atteintes à la santé invoquées est tranchée sur la base de renseignements d'ordre médical, il n'est pas nécessaire que le recourant complète ses déclarations sur la manière dont son genou gauche a été affecté lors de sa chute. En l'absence de tout lien de causalité entre l'accident et l'atteinte au genou gauche au-delà du 28 novembre 2014 comme relevé supra, tout rapport de causalité naturelle indirecte entre l'accident et les troubles au genou et la cheville droits, la boiterie chronique gauche et les lombalgies - apparus entre fin décembre 2015 et l'été 2018 - est exclu. Pour le même motif, il n'est plus pertinent de savoir si les traitements que le recourant a suivis postérieurement au 28 novembre 2014 pouvaient améliorer ou non son état de santé. Ainsi, il était inutile que l'expert judiciaire se prononce sur l'incapacité de travail du recourant et sur le taux de l'atteinte à l'intégrité. Enfin, l'expert judiciaire n'était pas non plus tenu de prendre</w:t>
      </w:r>
    </w:p>
    <w:p>
      <w:r>
        <w:t>A/1700/2023 - 20/21 - en compte l'(éventuelle) atteinte psychique du recourant, puisqu'aucun médecin ayant examiné ce dernier n'avait jusqu'ici considéré qu'une telle atteinte serait liée à l'évènement accidentel, étant rappelé que, dans l'arrêt de renvoi du 6 février 2020, la chambre de céans a enjoint l'intimée de mettre en œuvre une expertise sur le plan orthopédique exclusivement.</w:t>
      </w:r>
    </w:p>
    <w:p>
      <w:r>
        <w:rPr>
          <w:b/>
        </w:rPr>
        <w:t>E. 6.2</w:t>
      </w:r>
    </w:p>
    <w:p>
      <w:r>
        <w:t>En conséquence, l'intimée était fondée, par sa décision sur opposition du 5 avril 2023, à supprimer le droit du recourant à la prise en charge du traitement médical et au versement des indemnités journalières avec effet ex nunc et pro futuro (ATF 130 V 380 consid. 2.3.1). Il sera relevé que, par l'arrêt de renvoi du 6 février 2020, la chambre de céans a annulé la décision sur opposition du 13 décembre 2018 par laquelle l'intimée avait mis le recourant au bénéfice d'une rente d'invalidité de l'assurance-accidents à compter du 1er avril 2018, et renvoyé le dossier à celle-ci pour instruction complémentaire et nouvelle décision. Dans ses considérants, la chambre de céans a retenu que l'examen du droit à la rente effectué par l'intimée l'avait été prématurément, car il n'était pas établi, au degré de la vraisemblance prépondérante, si la capacité de travail du recourant pouvait ou non être améliorée de manière significative au 13 décembre 2018, respectivement au 1er avril 2018. Il s'ensuit que le droit à la rente du recourant n'a pas été tranché définitivement par cet arrêt. À l'issue de l'instruction complémentaire, l'intimée pouvait donc revenir sur le droit à cette prestation. Dans ce cadre, en l'absence de tout lien de causalité entre les troubles invoqués par le recourant et l'accident du 28 août 2014 au-delà du 28 novembre 2014, pour les motifs exposés supra, force est de conclure que le recourant ne peut prétendre l'octroi d'une rente d'invalidité de l'assurance- accidents. En conséquence, par appréciation anticipée des preuves (ATF 122 II 464 consid. 4a), est-il superflu d'instruire davantage ce dossier.</w:t>
      </w:r>
    </w:p>
    <w:p>
      <w:r>
        <w:rPr>
          <w:b/>
        </w:rPr>
        <w:t>E. 7</w:t>
      </w:r>
    </w:p>
    <w:p>
      <w:r>
        <w:t>Au vu de ce qui précède, le recours est rejeté. Le recourant, qui succombe, n'a pas droit à des dépens (art. 61 let. g LPGA a contrario). Les frais de l’expertise judiciaire seront laissés à la charge de l'État. Pour le surplus, la procédure est gratuite (art. 61 let. fbis LPGA a contrario).</w:t>
      </w:r>
    </w:p>
    <w:p>
      <w:r>
        <w:t>A/1700/2023 - 21/21 -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