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ATAS/691/2023 vom 18. September 2023</w:t>
      </w:r>
    </w:p>
    <w:p>
      <w:r>
        <w:t>GE Cour de justice, 2023-09-18, FR</w:t>
      </w:r>
    </w:p>
    <w:p>
      <w:r>
        <w:rPr>
          <w:b/>
        </w:rPr>
        <w:t xml:space="preserve">Quelle: </w:t>
      </w:r>
      <w:r>
        <w:t>https://mcp.opencaselaw.ch/entscheid/ge_gerichte_ATAS_691_2023</w:t>
      </w:r>
    </w:p>
    <w:p>
      <w:r>
        <w:t>FR: GE_GERICHTE ATAS/691/2023 du 18 septembre 2023</w:t>
      </w:r>
    </w:p>
    <w:p>
      <w:r>
        <w:t>IT: GE_GERICHTE ATAS/691/2023 del 18 settembre 2023</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Sa compétence pour juger du cas d’espèce est ainsi établie.</w:t>
      </w:r>
    </w:p>
    <w:p>
      <w:r>
        <w:rPr>
          <w:b/>
        </w:rPr>
        <w:t>E. 2</w:t>
      </w:r>
    </w:p>
    <w:p>
      <w:r>
        <w:t>Interjeté en temps utile, le recours est recevable (art. 60 LPGA).</w:t>
      </w:r>
    </w:p>
    <w:p>
      <w:r>
        <w:rPr>
          <w:b/>
        </w:rPr>
        <w:t>E. 3</w:t>
      </w:r>
    </w:p>
    <w:p>
      <w:r>
        <w:t>Le litige porte sur le bien-fondé du refus de l'intimé d'entrer en matière sur la nouvelle demande de prestations de la recourante.</w:t>
      </w:r>
    </w:p>
    <w:p>
      <w:r>
        <w:rPr>
          <w:b/>
        </w:rPr>
        <w:t>E. 4.1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w:t>
      </w:r>
    </w:p>
    <w:p>
      <w:r>
        <w:t>A/2349/2023 - 6/8 -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t>A/2349/2023 - 7/8 -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121 V 366 consid. 1b et les références ; arrêt du Tribunal fédéral 9C 959/2011 du 6 août 2012 consid. 4.3).</w:t>
      </w:r>
    </w:p>
    <w:p>
      <w:r>
        <w:rPr>
          <w:b/>
        </w:rPr>
        <w:t>E. 5</w:t>
      </w:r>
    </w:p>
    <w:p>
      <w:r>
        <w:t>En l’occurrence, il convient, préalablement, de constater que le rapport du Dr G______ du 12 septembre 2022 ainsi que son courriel du 4 octobre 2022 ne peuvent, bien qu’antérieurs à la décision litigieuse du 13 juin 2023, être pris en compte dès lors qu’ils n’ont pas été versés au dossier de l’intimé avant la décision litigieuse et que l’intimé n’en avait donc pas connaissance au moment où il a statué. Cependant, des indices d’une modification déterminante, au sens de l’art. 87 RAI, par l’allégation d’une aggravation de l’état de santé du recourant, sont néanmoins réalisés, sur la seule base du rapport du 1er mars 2022 du Dr G______, lequel a suivi le recourant en 2015 et depuis septembre 2021. Ce médecin a en effet relevé que ce dernier avait de la difficulté à fonctionner au quotidien, avec un sentiment de vide permanent, d’absence de but dans la vie et un fond de tristesse, des difficultés de compréhension et une aggravation du trouble de la personnalité par des dépressions multiples et la pandémie. Dans la mesure où une aggravation de l’état de santé est mentionnée par le psychiatre-traitant du recourant, l’intimé se devait d’instruire le cas du point de vue psychiatrique, ce d’autant que l’expert F______ avait souligné, le 5 février 2020, qu’en cas d’absence de soutien en faveur du recourant, l’évolution de celui-ci vers un état dépressif sévère était probable.</w:t>
      </w:r>
    </w:p>
    <w:p>
      <w:r>
        <w:rPr>
          <w:b/>
        </w:rPr>
        <w:t>E. 6</w:t>
      </w:r>
    </w:p>
    <w:p>
      <w:r>
        <w:t>Au demeurant, le recours sera admis et la décision litigieuse annulée, la cause étant renvoyée à l’intimé pour instruction complémentaire et nouvelle décision. Bien que la procédure ne soit pas gratuite en matière d'assurance-invalidité (art. 69 al. 1bis LAI), il convient de renoncer à la perception d'un émolument, le recourant étant au bénéfice de l'assistance juridique, selon décision du 22 avril 2021 de la Vice-présidente du tribunal de première instance (art. 12 al. 1 du règlement sur les frais, émoluments et indemnités en procédure administrative du 30 juillet 1986 [RFPA - E 5 10.03]).</w:t>
      </w:r>
    </w:p>
    <w:p>
      <w:r>
        <w:t>A/2349/2023 - 8/8 -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