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ATAS/691/2021 vom 28. Juni 2021</w:t>
      </w:r>
    </w:p>
    <w:p>
      <w:r>
        <w:t>GE Cour de justice, 2021-06-28, FR</w:t>
      </w:r>
    </w:p>
    <w:p>
      <w:r>
        <w:rPr>
          <w:b/>
        </w:rPr>
        <w:t xml:space="preserve">Quelle: </w:t>
      </w:r>
      <w:r>
        <w:t>https://mcp.opencaselaw.ch/entscheid/ge_gerichte_ATAS_691_2021</w:t>
      </w:r>
    </w:p>
    <w:p>
      <w:r>
        <w:t>FR: GE_GERICHTE ATAS/691/2021 du 28 juin 2021</w:t>
      </w:r>
    </w:p>
    <w:p>
      <w:r>
        <w:t>IT: GE_GERICHTE ATAS/691/2021 del 28 giugno 2021</w:t>
      </w:r>
    </w:p>
    <w:p>
      <w:pPr>
        <w:pStyle w:val="Heading2"/>
      </w:pPr>
      <w:r>
        <w:t>Erwägungen</w:t>
      </w:r>
    </w:p>
    <w:p>
      <w:r>
        <w:rPr>
          <w:b/>
        </w:rPr>
        <w:t>E. 1</w:t>
      </w:r>
    </w:p>
    <w:p>
      <w:r>
        <w:t>La compétence de la chambre de céans et la recevabilité du recours ont été examinés dans l’ordonnance d’expertise du 20 août 2020, de sorte qu’il suffit d’y renvoyer.</w:t>
      </w:r>
    </w:p>
    <w:p>
      <w:r>
        <w:t>A/432/2020 - 8/20 -</w:t>
      </w:r>
    </w:p>
    <w:p>
      <w:r>
        <w:rPr>
          <w:b/>
        </w:rPr>
        <w:t>E. 2</w:t>
      </w:r>
    </w:p>
    <w:p>
      <w:r>
        <w:t>Le 1er janvier 2021 est entrée en vigueur la modification du 21 juin 2019 de la loi fédérale sur la partie générale du droit des assurances sociales du 6 octobre 2000 (LPGA - RS 830.1). Toutefois, dans la mesure où le recours était, au 1er janvier 2021, pendant devant la chambre de céans, il reste soumis à l'ancien droit (cf. art. 82a LPGA).</w:t>
      </w:r>
    </w:p>
    <w:p>
      <w:r>
        <w:rPr>
          <w:b/>
        </w:rPr>
        <w:t>E. 3</w:t>
      </w:r>
    </w:p>
    <w:p>
      <w:r>
        <w:t>Le 1er janvier 2017 est entrée en vigueur la modification du 25 septembre 2015 de la loi fédérale sur l'assurance-accidents du 20 mars 1981 (LAA - RS 832.20).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litige porte sur la question de savoir si les troubles présentés par l’assuré sont en lien de causalité avec l'accident du 8 mars 2014 et si son droit aux prestations doit être maintenu au-delà du 31 juillet 2015. Comme indiqué dans l’ordonnance d’expertise du 20 août 2020, l’indemnité pour atteinte à l’intégrité relative à la perte d’odorat et de goût, réclamée par le recourant dans son opposition, a été octroyée par décision du 15 octobre 2019, laquelle n’a pas fait l’objet d’opposition. Elle ne fait donc pas partie de l’objet du litige. Suite à son courrier du 14 octobre 2019, l’intimée a versé l’intégralité des indemnités journalières reconnues, une réduction pour entreprise téméraire telle que provisoirement effectuée suite au courrier du 19 mars 2014 n’ayant pas lieu d’être (voir réponse de la SUVA du 3 mars 2020 p. 4). Il n’est donc plus nécessaire d’examiner le bien-fondé de la réduction initialement opérée par l’intimée.</w:t>
      </w:r>
    </w:p>
    <w:p>
      <w:r>
        <w:rPr>
          <w:b/>
        </w:rPr>
        <w:t>E. 5</w:t>
      </w:r>
    </w:p>
    <w:p>
      <w:r>
        <w:t>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w:t>
      </w:r>
    </w:p>
    <w:p>
      <w:r>
        <w:rPr>
          <w:b/>
        </w:rPr>
        <w:t>E. 6</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A/432/2020 - 9/20 -</w:t>
      </w:r>
    </w:p>
    <w:p>
      <w:r>
        <w:rPr>
          <w:b/>
        </w:rPr>
        <w:t>E. 7</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w:t>
      </w:r>
    </w:p>
    <w:p>
      <w:r>
        <w:rPr>
          <w:b/>
        </w:rPr>
        <w:t>E. 8</w:t>
      </w:r>
    </w:p>
    <w:p>
      <w:r>
        <w:t>a. La jurisprudence a précisé les tâches du médecin notamment lors de l'examen du lien de causalité naturelle entre l'événement accidentel et la survenance du dommage (ATF 122 V 158 consid. 1b et les références; SPIRA, La preuve en droit des assurances sociales, in : Mélanges en l'honneur de Henri-Robert SCHÜPBACH - Bâle, 2000, p. 268).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t>A/432/2020 - 10/20 - Ainsi,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w:t>
      </w:r>
    </w:p>
    <w:p>
      <w:r>
        <w:t>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t>A/432/2020 - 11/20 -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w:t>
      </w:r>
    </w:p>
    <w:p>
      <w:r>
        <w:t>A/432/2020 - 12/20 -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w:t>
      </w:r>
    </w:p>
    <w:p>
      <w:r>
        <w:t>A/432/2020 - 13/20 - Tribunal fédéral BGE 134 V 109 du 3 mai 2012 consid. 6.2.2, arrêt du Tribunal fédéral 8C_897/2009 du 29 janvier 2010, consid. 4.5).</w:t>
      </w:r>
    </w:p>
    <w:p>
      <w:r>
        <w:rPr>
          <w:b/>
        </w:rPr>
        <w:t>E. 10</w:t>
      </w:r>
    </w:p>
    <w:p>
      <w:r>
        <w:t>D’après la casuistique, les agressions suivantes ont été considérées comme des accidents moyens stricto sensu : - L’altercation à la sortie d’une discothèque, ayant eu pour conséquences une commotion cérébrale, une plaie importante à l'arrière de la tête, une distorsion cervicale, une plaie prétibiale à droite, ainsi que des contusions au flanc droit et à l'avant-bras droit (arrêt du Tribunal fédéral 8C_445/2013 du 27 mars 2014 consid. 4.3.2). - L’altercation avec le portier d’un club, lequel a décoché un violent coup de poing au visage de l’assuré, ce qui a eu pour effet de lui faire perdre connaissance. À son réveil, l’assuré se trouvait assis contre le mur extérieur de l’établissement. Avec l’aide d’un chauffeur de taxi, il s’était rendu à l’hôpital pour y recevoir des soins (arrêt du Tribunal fédéral 8C_254/2009 du 19 mars 2010 consid. 3.3). - L’agression commise, à la sortie de la banque, par un inconnu muni d’une cagoule, lequel a essayé de prendre le sac porté en bandoulière de l’assurée, qui a été projetée au sol. Elle a résisté, tenant la courroie de manière forte et a été tirée sur le sol à plat ventre « comme un sac de patates » par son agresseur. Celui-ci est parvenu à s'emparer du sac convoité, a quitté les lieux en courant, avant d'être intercepté un peu plus loin par des témoins qui avaient assisté aux faits. Cette agression avait entraîné les atteintes suivantes : une contusion occipitale gauche, douleur à la palpation, mais pas de plaie ni d'hématome, des dermabrasions multiples de 0,5 cm de la base de l'annulaire gauche et interdigital (doigts 3 et 4), une dermabrasion du coude droit de 0.7 cm de long et une dermabrasion rouge du genou droit, de 2.5 cm de diamètre (arrêt du Tribunal fédéral des assurances U_138/04 du 16 février 2005). - L’agression, en plein jour et dans un lieu public, par un jeune homme non armé, qui a frappé l’assuré de ses poings au visage et au dos à plusieurs reprises, avec traumatisme cranio-cérébral, fracture discrète du nez et contusions (arrêt du Tribunal fédéral 8C_434/2013 du 7 mai 2014). En revanche, le Tribunal fédéral a classé les agressions suivantes dans les accidents moyens à la limite des accidents graves : - À la suite d'une tentative d'extorsion d'argent, de chantage et de menaces, agression chez soi, à 4 heures du matin, par trois inconnus habillés de noir qui avaient roué l’assuré de coups tandis qu'il était à terre. Les lésions subies (fracture de la mâchoire ayant nécessité une opération, contusions et hématomes de 7 cm de diamètre) montraient la violence de l'attaque qui avait fait craindre l'assuré pour sa vie (arrêt du Tribunal fédéral des assurances U 36/07 du 8 mai 2007).</w:t>
      </w:r>
    </w:p>
    <w:p>
      <w:r>
        <w:t>A/432/2020 - 14/20 - - L’agression commise par le fils du compagnon de l’assurée lequel, après l'avoir jetée à terre, avait tenté de l'étrangler, lui avait frappé à plusieurs reprises la tête contre le sol et donné des coups de genoux dans le dos et les reins (arrêt du Tribunal fédéral des assurances U 9/00 du 28 août 2001). - L’agression au moyen d’une scie électrique, ayant entraîné plusieurs coupures, lesquelles ont nécessité une hospitalisation de plusieurs jours (arrêt du Tribunal fédéral 8C_480/2013 du 15 avril 2014).</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12</w:t>
      </w:r>
    </w:p>
    <w:p>
      <w:r>
        <w:t>a. Par arrêt du 18 décembre 2017 (ATAS/1157/2017), la chambre de céans a renvoyé la cause à l’intimé, l’invitant notamment à instruire le dossier sur le plan médical, afin de déterminer si les troubles présentés par le recourant étaient d’origine organique ou fonctionnelle. En effet, en cas de troubles d’origine organique, la causalité naturelle et la causalité adéquate se recouvrent. En revanche, en présence d’atteintes non objectivables du point de vue organique, la causalité</w:t>
      </w:r>
    </w:p>
    <w:p>
      <w:r>
        <w:t>A/432/2020 - 15/20 - naturelle et la causalité adéquate ne se recouvrent pas et il suffit que l’un des liens de causalité fasse défaut pour que l’assureur-accidents n’ait pas à prester. Dans ce contexte, c’est le lieu de rappeler que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arrêts du Tribunal fédéral 8C_612/2019 du 30 juin 2020 consid. 2.1 et 8C_591/2018 du 29 janvier 2020 consid. 2). b. En l’espèce, la chambre de céans relève, en premier lieu, qu’aucune des parties ne conteste une stabilisation de l’état de santé du recourant avec effet au 31 juillet 2015. Partant, c’est donc à cette date que l’existence d’un lien de causalité naturelle et adéquate doit être examiné. Cela étant précisé, il y a désormais lieu de s’intéresser à la valeur probante des rapports d’expertise, étant précisé que seuls des rapports disposant d’une pleine valeur probante permettent de trancher la question de la nature des atteintes du recourant, à savoir si lesdites atteintes sont d’origine organique ou fonctionnelle. Or, force est de constater que le rapport d’expertise pluridisciplinaire du 23 avril 2019 et ses annexes (à l’exception du volet ophtalmologique) et le rapport d’expertise ophtalmologique du 12 octobre 2020 remplissent sur le plan formel toutes les exigences auxquelles la jurisprudence soumet la valeur probante de tels documents. Ils contiennent le résumé du dossier, les indications subjectives du recourant, des observations cliniques, ainsi qu'une discussion générale du cas. Les conclusions des médecins, qui résultent d'une analyse complète de la situation médicale, sont claires et bien motivées. Sur le fond, les médecins ont en substance retenu ce qui suit :  Les lésions contusionnelles fronto-basale et temporo-lobaire droites ne sont pas consécutives mais préexistantes à l’événement assuré (relecture neuroradiologique du 26 décembre 2018). En d’autres termes, le lien de causalité naturelle avec l’accident assuré fait défaut s’agissant de cette atteinte.  Le recourant a présenté un tableau clinique de TCC, de type commotion cérébrale, se manifestant par une sensation transitoire d’être comme dans un brouillard, traduisant une altération transitoire et très partielle de la conscience, un trouble passager de la mémoire ainsi que des céphalées, étant toutefois précisé que le bilan par imagerie n’a pas montré de contusion cérébrale</w:t>
      </w:r>
    </w:p>
    <w:p>
      <w:r>
        <w:t>A/432/2020 - 16/20 - (rapport d’expertise neurologique du 22 février 2019 p. 10 et rapport d’expertise en médecine interne du 23 avril 2019 p. 17).  Si elle est effectivement susceptible d’être consécutive à un mécanisme de cisaillement bilatéral des fibres du bulbe olfactif, l’atteinte olfactive dépend des réponses du recourant et ne peut être démontrée radiologiquement (expertise neurologique du 22 février 2019 p. 7 et 10). L’évaluation des bulbes olfactifs n’était pas possible sur l’examen CT du 8 mars 2014 (rapport d’expertise neurologique du 22 février 2019 p. 7 et rapport d’expertise consensuelle du 23 avril 2019, p. 4) mais une possible gliose du bulbe olfactif droit a été évoquée, étant toutefois précisé que cette atteinte ne peut pas être datée (rapport d’expertise neurologique du 22 février 2019 p. 7). L’anosmie bilatérale présume un mécanisme de cisaillement bilatéral des fibres du bulbe olfactif. Or, la possible gliose est uniquement de latéralisation droite (rapport d’expertise neurologique du 22 février 2019 p. 7). En conclusion, pour les experts, il n’est pas possible de démontrer objectivement un déficit organique et de faire la part des choses entre les troubles organiques et fonctionnels. Même s’il n’est pas possible de le démontrer et de le quantifier, l’anamnèse est suggestive d’un déficit organique post-traumatique de l’olfaction (rapport d’expertise neurologique du 22 février 2019 p. 10). Cela étant, l’expert neurologue suggérait d’adresser le recourant à la Prof. T______, leur médecin référent à l’hôpital de l’Île, qui s’occupait spécifiquement des troubles fonctionnels (rapport d’expertise neurologique du 22 février 2019, p. 9).  Les troubles gustatifs indiquent des lésions bilatérales des nerfs VII et IX qui ne peuvent avoir été causées par une fracture des os propres du nez. De plus, aucune lésion radiologique n’a été constatée aux zones d’émergence de ces nerfs, raison pour laquelle les experts ont conclu à un trouble fonctionnel surajouté (rapport d’expertise neurologique du 22 février 2019 p. 8).  L’IRM n’avait pas révélé de lésion du nerf optique et le CT scanner n’a pas retrouvé de lésions des orbites. De plus, il n’y avait pas d’argument clinique pour une atteinte oculomotrice et par conséquent une atteint des nerfs oculomoteurs (NCIII), trochléaires (NC IV) et abducens (NV VI) (rapport d’expertise neurologique du 22 février 2019 p. 8). En raison d’une grande fluctuation du champ visuel, d’une absence de déficit pupillaire relatif et d’un aspect physiologique de cellules ganglionnaires rétiniennes ainsi que des fibres avec une stabilité dans le temps, la Prof. U______ a conclu à une origine anorganique de l’altération du champ visuel de l’œil droit (rapport de la Prof. U______ du 22 septembre 2020). C’est le lieu de relever que l’appréciation de la Prof. U______ rejoint les conclusions des Drs D______ (rapports des 22 mars 2015 et 12 avril l2016),</w:t>
      </w:r>
    </w:p>
    <w:p>
      <w:r>
        <w:t>A/432/2020 - 17/20 - I______ (rapport du 19 août 2016) et O______ (rapport du 1er mars 2019), s’écartant par là de celles du Dr E______ (rapport du Dr E______ du 10 août 2015).  Le recourant souffre de dysthymie laquelle entraîne une diminution de rendement de 20% en raison des troubles de la concentration (rapport d’expertise psychiatrique du 13 février 2019 p.8). Il ressort ainsi des considérations qui précèdent que les atteintes dont souffre le recourant ne peuvent être qualifiées, au degré de la vraisemblance prépondérante, de lésions traumatiques objectivables d'un point de vue organique, dès lors que les résultats obtenus dépendent des déclarations du recourant et qu’ils n’ont pas pu être confirmés par des investigations réalisées au moyen d'appareils diagnostiques ou d'imagerie. Or, dans une telle situation, les liens de causalité naturelle et adéquate ne se confondent pas et il y a par conséquent lieu d’examiner le lien de causalité adéquate au regard des critères jurisprudentiels applicables en cas d’atteinte non objectivable du point de vue organique.</w:t>
      </w:r>
    </w:p>
    <w:p>
      <w:r>
        <w:rPr>
          <w:b/>
        </w:rPr>
        <w:t>E. 13</w:t>
      </w:r>
    </w:p>
    <w:p>
      <w:r>
        <w:t>La chambre de céans relève, à ce stade, que la question d’un complément d’expertise portant sur le lien de causalité naturelle entre l’accident et les troubles visuels non organiques retenus par la Prof. U______ peut se poser. En effet, l’experte précitée s’est uniquement prononcée sur le lien de causalité, l’incapacité de travail et les limitations fonctionnelles d’un éventuel trouble objectivable, qu’elle n’a pas décelé, et n’a pas examiné les conséquences d’un trouble visuel fonctionnel. De même, l’intimée a contesté les conclusions du Dr L______ s’agissant du caractère incapacitant de la dysthymie faute de motivation. La question d’une instruction complémentaire sur les plans ophtalmologique et psychique peut toutefois rester ouverte, le lien de causalité adéquate entre l’agression du 8 mars 2014 et les troubles encore existants n’étant quoi qu’il en soit pas donné comme cela ressort des considérations qui suivent.</w:t>
      </w:r>
    </w:p>
    <w:p>
      <w:r>
        <w:rPr>
          <w:b/>
        </w:rPr>
        <w:t>E. 14</w:t>
      </w:r>
    </w:p>
    <w:p>
      <w:r>
        <w:t>a. À titre liminaire, c’est le lieu de préciser que le cas du recourant doit être examiné en application des critères définis à l’ATF 115 V 133, en tenant compte des seuls troubles physiques consécutifs à l’accident assuré. En effet, le dossier ne fait à aucun moment référence à un traumatisme du type « coup du lapin » et l’intensité du traumatisme crânien n’a pas atteint le seuil de la contusion cérébrale (cf. rapport d’expertise neurologique du 22 février 2019 p. 10 et rapport d’expertise en médecine interne du 23 avril 2019 p. 17), de sorte que les critères de l’ATF 117 V 359 ne trouvent pas application. b. Cela étant précisé, il y a désormais lieu de qualifier l’accident en question.</w:t>
      </w:r>
    </w:p>
    <w:p>
      <w:r>
        <w:t>A/432/2020 - 18/20 - Au vu de la jurisprudence en la matière, l’accident dont a été victime le recourant doit être qualifié de gravité moyenne stricto sensu (voir consid. 10 supra), ce qui n’est au demeurant contesté par aucune des parties. Dans un tel cas, au moins trois des critères jurisprudentiels doivent être remplis, un seul étant toutefois suffisant s’il revêt une intensité particulière. b/aa.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 du Tribunal fédéral 8C_657/2013 du 3 juillet 2014 consid. 5.3 et les références citées). En l’espèce, la question de savoir si l’événement du 8 mars 2014 revêt un caractère particulièrement dramatique ou impressionnant peut être laissée ouverte, dès lors que les autres critères ne sont de toute évidence pas réalisés. En tout état, ce critère n’est pas suffisant pour fonder, à lui seul, la causalité adéquate (voir les arrêts du Tribunal fédéral 8C_445/2013 du 27 mars 2014, 8C_168/2011 du 11 juillet 2011, 8C_254/2009 du 18 mars 2010 et U.138/04 du 16 février 2005 dans le même sens). b/bb. Les lésions physiques occasionnées par l’accident assuré ont consisté essentiellement en une fracture du nez ayant nécessité un repositionnement nasal, laquelle ne peut pas être qualifiée de lésion grave, propre à entraîner des troubles psychiques selon l’expérience et au vu des précédents jurisprudentiels. b/cc.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w:t>
      </w:r>
    </w:p>
    <w:p>
      <w:r>
        <w:t>A/432/2020 - 19/20 - Or, force est de constater, en l’espèce, qu’outre le repositionnement nasal, le traitement médical lié à l’atteinte physique a consisté en la prise d’antibiotiques et d’antalgiques, de sorte qu’il n’était objectivement pas continu et lourd. b/dd.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b/ee. Quant aux douleurs physiques persistantes, liées à la fracture du nez, elles n’ont justifié une incapacité de travail que jusqu’à fin mars 2014 (cf. certificats médicaux du service des urgences et du service de chirurgie maxillo-faciale et de chirurgie buccale des 8, respectivement 18 et 27 mars 2014, les certificats subséquents ayant été établis en raison de troubles non objectivables). Les critères des douleurs persistantes et de la durée de l’incapacité de travail ne sont ainsi pas non plus réalisés. c. Force est donc de conclure que seul un des critères énoncés par la jurisprudence, à savoir celui du caractère impressionnant de l’accident, pourrait être rempli en l’espèce, sans toutefois revêtir une intensité particulière. Cela est insuffisant pour admettre l’existence d’un lien de causalité adéquate entre l’accident du 8 mars 2014 et les éventuels troubles (non organiques et psychiques) encore présents chez le recourant. Dans ces circonstances, il n’est pas nécessaire de mettre en œuvre un complément d’expertise. En effet, les deux liens de causalité doivent être retenus cumulativement et dès lors que le lien de causalité adéquate, qui est une question de droit, fait défaut, la question du lien de causalité naturelle, qui est une question de fait, peut rester ouverte (voir dans ce sens les arrêts du Tribunal fédéral 8C_77/2009 du 4 juin 2009 consid. 4 et 8C_746/2008 du 17 août 2009 consid. 5).</w:t>
      </w:r>
    </w:p>
    <w:p>
      <w:r>
        <w:rPr>
          <w:b/>
        </w:rPr>
        <w:t>E. 15</w:t>
      </w:r>
    </w:p>
    <w:p>
      <w:r>
        <w:t>Partant, en l’absence de lien de causalité adéquate, c’est à juste titre que l’intimée a refusé le versement d’une rente d’invalidité et la prise en charge du traitement des troubles non objectivables.</w:t>
      </w:r>
    </w:p>
    <w:p>
      <w:r>
        <w:rPr>
          <w:b/>
        </w:rPr>
        <w:t>E. 16</w:t>
      </w:r>
    </w:p>
    <w:p>
      <w:r>
        <w:t>Au vu de ce qui précède, le recours sera rejeté. Le recourant, n'obtenant pas gain de cause, ne peut prétendre à une indemnité à titre de dépens (art. 61 let. g LPGA a contrario). Par ailleurs, les assureurs sociaux qui obtiennent gain de cause devant une juridiction de première instance n'ont en principe pas le droit à une indemnité de dépens (ATF 126 V 149 consid. 4). Pour le surplus, la procédure est gratuite (art. 61 let. a LPGA).</w:t>
      </w:r>
    </w:p>
    <w:p>
      <w:r>
        <w:t>A/432/2020 - 20/20 -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