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ATAS/691/2015 vom 15. September 2015</w:t>
      </w:r>
    </w:p>
    <w:p>
      <w:r>
        <w:t>GE Cour de justice, 2015-09-15, FR</w:t>
      </w:r>
    </w:p>
    <w:p>
      <w:r>
        <w:rPr>
          <w:b/>
        </w:rPr>
        <w:t xml:space="preserve">Quelle: </w:t>
      </w:r>
      <w:r>
        <w:t>https://mcp.opencaselaw.ch/entscheid/ge_gerichte_ATAS_691_2015</w:t>
      </w:r>
    </w:p>
    <w:p>
      <w:r>
        <w:t>FR: GE_GERICHTE ATAS/691/2015 du 15 septembre 2015</w:t>
      </w:r>
    </w:p>
    <w:p>
      <w:r>
        <w:t>IT: GE_GERICHTE ATAS/691/2015 del 15 settembre 2015</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w:t>
      </w:r>
    </w:p>
    <w:p>
      <w:r>
        <w:t>A/1573/2015 - 5/12 -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refus de l’assureur-accidents d’allouer ses prestations en remboursement des frais relatifs à l’évènement du 26 novembre 2014.</w:t>
      </w:r>
    </w:p>
    <w:p>
      <w:r>
        <w:rPr>
          <w:b/>
        </w:rPr>
        <w:t>E. 5</w:t>
      </w:r>
    </w:p>
    <w:p>
      <w:r>
        <w:t>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(arrêt du Tribunal fédéral 8C_520/2009 du 24 février 2010 consid. 2).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des assurances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w:t>
      </w:r>
    </w:p>
    <w:p>
      <w:r>
        <w:t>A/1573/2015 - 6/12 -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w:t>
      </w:r>
    </w:p>
    <w:p>
      <w:r>
        <w:rPr>
          <w:b/>
        </w:rPr>
        <w:t>E. 6</w:t>
      </w:r>
    </w:p>
    <w:p>
      <w:r>
        <w:t>a) L’art. 6 al. 2 LAA a conféré au Conseil fédéral la compétence d’étendre la prise en charge par l’assurance-accidents à des lésions assimilables à un accident. Aux termes de l'art.</w:t>
      </w:r>
    </w:p>
    <w:p>
      <w:r>
        <w:rPr>
          <w:b/>
        </w:rPr>
        <w:t>E. 9</w:t>
      </w:r>
    </w:p>
    <w:p>
      <w:r>
        <w:t>Il convient encore de rappeler que les explications d'un assuré sur le déroulement d'un fait allégué sont au bénéfice d'une présomption de vraisemblance (arrêt du Tribunal fédéral des assurances U 96/05 du 20 mai 2006 consid. 3.1; arrêt du Tribunal fédéral U 267/01 du 4 juin 2002 consid. 2a). Toutefois, selon le principe de la "déclaration de la première heure"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arrêt du Tribunal fédéral 9C_663/2009 du 1er février 2010 consid. 3.2). En présence de deux versions différentes au sujet des circonstances d'un accident, il convient de donner la préférence à celle que l'assuré a donnée en premier, alors qu'il en ignorait les conséquences juridiques, les explications nouvelles pouvant être -</w:t>
      </w:r>
    </w:p>
    <w:p>
      <w:r>
        <w:t>A/1573/2015 - 10/12 - consciemment ou non - le produit de réflexions ultérieures (ATF 121 V 47 consid. 2a et les références, VSI 2000 p. 201 consid. 2d).</w:t>
      </w:r>
    </w:p>
    <w:p>
      <w:r>
        <w:rPr>
          <w:b/>
        </w:rPr>
        <w:t>E. 10</w:t>
      </w:r>
    </w:p>
    <w:p>
      <w:r>
        <w:t>Il convient en premier lieu de déterminer si l’événement du 26 novembre 2014 peut être qualifié d’accident au sens de l’art. 4 LPGA, en particulier d’examiner si la condition de facteur extérieur extraordinaire est réalisée. La jurisprudence a considéré que ne présentait pas un caractère accidentel, faute d’une cause extérieure extraordinaire, un mouvement de réflexe ordinaire visant à retenir un poids qui n’est pas excessif, en l’occurrence une pile de papier de 60 kg (extrait CNA 1981 n° 4) ou le fait pour un menuisier-machiniste de stabiliser d’un mouvement de la main gauche une porte de 100 à 150 kg, soulevée à l’aide d’un collègue et qui menaçait de basculer (Arrêt du Tribunal fédéral des assurances U 58 du 6 mai 1988, consid. 3b, résumé in extrait CNA 1988 n° 8). De même, il a été jugé qu’il n’y avait pas d’accident dans le cas d’un aide-infirmier de 26 ans, jouissant d’une bonne constitution physique qui, penché en avant pour déplacer un malade alité pesant entre 100 et 120 kg, avait soudain ressenti une vive douleur au dos (ATF 116 V 136 consid. 3c). À l’opposé, la jurisprudence a admis l’existence d’un accident consécutivement à l’intervention d’un facteur extérieur extraordinaire dans le cas du déplacement d’une charge de 150 kg en soi déjà exceptionnelle compte tenu des habitudes professionnelles de l’assuré, mais aussi en raison du fait que l’intéressé avait dû déplacer cette charge en position penchée et pressé par le temps (RAMA 1994 n°U 180 p. 37). Ont également été considérées comme provoquées par un accident, les lésions subies par une infirmière qui avait retenu un patient de forte corpulence lors du transfert de ce patient du lit au fauteuil au moyen d’un effort décrit comme surhumain (RAMA 1994 p. 79). En l’occurrence, l’assurée a déclaré que « dans la salle de vie je me suis précipitée pour secourir un enfant j’ai donc monté quelques marches je me suis baissée pour prendre l’enfant dans les bras, en me relevant j’ai senti un craquement et en redescendant j’avais mal au genou droit en posant le pied ». Si l’on peut admettre que la condition de facteur extérieur soit réalisée au travers du mouvement de précipitation effectué par l’assurée (Arrêt du Tribunal fédéral des assurances U 220/05 consid. 4.1), celui-ci ne revêt pas un caractère extraordinaire justifiant d’admettre la survenance d’un accident. L’assurée n’a en effet pas indiqué qu’elle avait déployé un effort extraordinaire lorsqu’elle s’est relevée. Or, c’est à ce moment-là précisément qu’elle a senti un craquement. De surcroît, se précipiter pour prendre un enfant dans ses bras n’excède pas le cadre des événements que l’on peut objectivement qualifier de quotidiens ou d’habituels dans le cadre d’une activité s’exerçant dans une crèche-garderie. Compte tenu de ce qui précède, la chambre de céans retiendra que l’événement du 26 novembre 2014 ne peut être qualifié d’accident au sens de l’art. 4 LPGA, faute de caractère extraordinaire.</w:t>
      </w:r>
    </w:p>
    <w:p>
      <w:r>
        <w:t>A/1573/2015 - 11/12 -</w:t>
      </w:r>
    </w:p>
    <w:p>
      <w:r>
        <w:rPr>
          <w:b/>
        </w:rPr>
        <w:t>E. 11</w:t>
      </w:r>
    </w:p>
    <w:p>
      <w:r>
        <w:t>Reste à déterminer si l’assurée a subi une lésion assimilée à un accident et si, le cas échéant, les troubles constatés sont à la charge de l’assureur-accidents. L’assurée a présenté une lésion grade III de la corne postérieure du ménisque interne droit, soit une déchirure méniscale. Il s’agit en principe là d’une lésion assimilée à un accident au sens de l’art. 9 al. 2 let. c OLAA. L’assureur-accidents ne le conteste pas. Il relève toutefois que la lésion n’a pas été déclenchée par l’action d’un événement extérieur, et en conclut qu’il n’y a pas en l’espèce de lésion assimilée au sens juridique du terme. Il cite à cet égard un arrêt rendu par le TF le 7 mai 2010. Dans cet arrêt en effet, le TF a eu l’occasion de traiter le cas d’une jardinière d’enfants. Il a considéré que le fait de se relever de la position accroupie avec un petit enfant dans les bras était un mouvement habituel pour une jardinière d’enfants, mouvement qui est fait plusieurs fois par jour et qui ne comporte en lui-même aucun risque dommageable particulier. Il a également relevé que le mouvement est exécuté de manière contrôlée précisément en raison du fait qu’un petit enfant se trouve dans les bras (arrêt non publié du• TF du 7 mai 2010 - 6C372/2009, consid. 3.3). Aussi n’a-t-il pas retenu de lésion assimilée dans ce cas. Il y a lieu de rappeler que, selon la jurisprudence, il convient de nier l’existence d’une lésion corporelle assimilée à un accident dans tous les cas où le facteur dommageable extérieur se confond avec l’apparition (pour la première fois) de douleurs identifiées comme étant des symptômes de lésions corporelles au sens de celles énumérées à l’art. 9 al. 2 let. a à h OLAA. L’apparition de douleurs en tant que telle ne constitue pas une cause extérieure au sens de la jurisprudence. Lorsque la lésion d’un organe ne peut pas être attribuée à une cause extérieure concrète, mais qu’elle est due à la répétition, durant la vie quotidienne, de microtraumatismes qui provoquent l’usure de l’organe et finalement la lésion de celui-ci, cette dernière doit être considérée comme l’effet d’une maladie et non d’un accident. Ainsi, le diagnostic de déchirure du ménisque ne permet pas, à lui seul, d’admettre la soudaineté de l’atteinte, dans la mesure où la charge quotidienne supportée par l’articulation du genou et les microtraumatismes qui en résultent peuvent conduire à la formation d’une déchirure (arrêts du Tribunal fédéral des assurances U 198/00 du 30 août 2001 consid. 2b et U 63/96 du 28 novembre 1996). En l’espèce, il a déjà été relevé que le mouvement de précipitation effectué par l’assurée ne revêt pas un caractère extraordinaire justifiant d’admettre la survenance d’un accident. C’est en se relevant qu’elle a senti un craquement, ce qui, au vu de l’arrêt du 7 mai 2010, constitue un mouvement habituel pour une jardinière d’enfants, qui ne comporte en lui-même pas de risque dommageable particulier. Il n’y a ainsi pas de lésion assimilée en l’espèce.</w:t>
      </w:r>
    </w:p>
    <w:p>
      <w:r>
        <w:rPr>
          <w:b/>
        </w:rPr>
        <w:t>E. 12</w:t>
      </w:r>
    </w:p>
    <w:p>
      <w:r>
        <w:t>Aussi le recours ne peut-il être que rejeté.</w:t>
      </w:r>
    </w:p>
    <w:p>
      <w:r>
        <w:t>A/1573/2015 - 12/12 -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