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ATAS/691/2013 vom 28. Juni 2013</w:t>
      </w:r>
    </w:p>
    <w:p>
      <w:r>
        <w:t>GE Cour de justice, 2013-06-28, FR</w:t>
      </w:r>
    </w:p>
    <w:p>
      <w:r>
        <w:rPr>
          <w:b/>
        </w:rPr>
        <w:t xml:space="preserve">Quelle: </w:t>
      </w:r>
      <w:r>
        <w:t>https://mcp.opencaselaw.ch/entscheid/ge_gerichte_ATAS_691_2013</w:t>
      </w:r>
    </w:p>
    <w:p>
      <w:r>
        <w:t>FR: GE_GERICHTE ATAS/691/2013 du 28 juin 2013</w:t>
      </w:r>
    </w:p>
    <w:p>
      <w:r>
        <w:t>IT: GE_GERICHTE ATAS/691/2013 del 28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En premier lieu, il convient de qualifier l’écriture de l’assuré. Ce dernier invoque en effet l’apparition d’un « fait nouveau » par rapport à la décision du 2 octobre 2003. Cependant, si le recourant entendait demander la révision procédurale pour fait nouveau de la décision du 2 octobre 2003, il aurait dû saisir l’autorité qui a rendu la décision en question – soit l’OAI – et non la Cour de céans. Quoi qu’il en soit, sa demande aurait été manifestement infondée, vu l’absence de fait nouveau. On ne saurait en effet considérer – comme le soutient le recourant – que le « fait nouveau » consisterait dans le changement de position de l’OAI à son égard puisque la décision du 19 avril 2012 a été motivée par une toute autre atteinte à la santé que celle ayant fait l’objet de la première décision. L’argumentation de l’assuré sur ce point est donc à tout le moins manifestement infondée, voire à la limite de la témérité.</w:t>
      </w:r>
    </w:p>
    <w:p>
      <w:r>
        <w:t>A/1536/2012 - 5/9 - L’écriture de l’assuré sera donc considérée comme un recours contre la décision du 19 avril 2012. Ce recours respecte les exigences de forme et de délai posées par la loi (art. 56 ss LPGA) et doit donc être déclaré recevable.</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4</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t>A/1536/2012 - 6/9 -</w:t>
      </w:r>
    </w:p>
    <w:p>
      <w:r>
        <w:rPr>
          <w:b/>
        </w:rPr>
        <w:t>E. 5</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w:t>
      </w:r>
    </w:p>
    <w:p>
      <w:r>
        <w:t>A/1536/2012 - 7/9 - de travail par le médecin de famille (ATF 125 V 353 consid. 3b/cc et les références, RJJ 1995, p. 44 ; RCC 1988 p. 504 consid. 2)</w:t>
      </w:r>
    </w:p>
    <w:p>
      <w:r>
        <w:rPr>
          <w:b/>
        </w:rPr>
        <w:t>E. 7</w:t>
      </w:r>
    </w:p>
    <w:p>
      <w:r>
        <w:t>En l’espèce, si l’intimé a fait débuter le droit du recourant au mois d’octobre 2009, c’est qu’il a admis que le début de l’incapacité durable de travail remontait au 6 octobre 2008. A cet égard, il paraît nécessaire de rappeler que si le droit à la rente prend naissance au plus tôt à l’échéance d’une période de six mois à compter de la date à laquelle l’assuré a fait valoir son droit aux prestations conformément à l’art. 29 al. 1 LPGA (art. 29 al. 1 LAI), il n’en demeure pas moins qu’en vertu de l’art. 28 al. 1 let. b LAI, le droit à la rente ne s’ouvre que si l’assuré a présenté une incapacité de travail d’au moins 40% en moyenne durant une année sans interruption notable. Dans la mesure où l’intimé a admis une incapacité totale de travail à compter d’octobre 2008, c’est donc à juste titre qu’il a fait remonter le début du droit à la rente à octobre 2009. Le début de la totale incapacité de travail est confirmé par le Dr O__________, qui a attesté de l’hospitalisation de son patient en octobre 2008.</w:t>
      </w:r>
    </w:p>
    <w:p>
      <w:r>
        <w:rPr>
          <w:b/>
        </w:rPr>
        <w:t>E. 8</w:t>
      </w:r>
    </w:p>
    <w:p>
      <w:r>
        <w:t>Le recourant fait par ailleurs valoir que c’est son état de confusion mentale qui l’aurait empêché de déposer sa nouvelle demande de prestations plus tôt. Ce faisant, il invoque l’art. 48 al. 2 LAI aux termes duquel, si, en principe, un assuré ayant droit à des prestations présente sa demande plus de douze mois après la naissance de ce droit, la prestation, en dérogation à l’art. 24 al. 1 LPGA, n’est allouée que pour les douze mois précédant le dépôt de la demande, à moins que l’assuré n’ait pu connaître les faits ayant établi son droit aux prestations et ait fait valoir son droit dans un délai de douze mois à compter de la date à laquelle il a eu connaissance de ces faits – auquel cas les prestations arriérées lui sont versées au- delà des douze mois précédant le dépôt de sa demande. La jurisprudence du Tribunal fédéral en la matière est très restrictive dans la mesure où par « faits ouvrant droit à des prestations », il faut entendre l’atteinte à la santé physique et mentale qui ouvre droit à des prestations et non pas la faculté subjective de l’assuré de se faire une idée de son état ; il s’agit bien plutôt de savoir si les faits ouvrant droit à prestations peuvent objectivement être constatés ou non. Ainsi, l’assuré qui connaissait les faits ouvrant droit à des prestations mais qui ignorait qu'ils lui donnaient droit à ces prestations ne peut se prévaloir de cette disposition (ATF 102 V consid. 1a p. 113). Au surplus, il sied encore de relever que le TF a constaté que l'absence, à l'art. 48 al. 2 LAI, d'une disposition relative à l'impossibilité d'agir pour cause de force majeure devait être considérée comme une véritable lacune due à une inadvertance du législateur et qu'il était par conséquent juste d'assimiler à la demande présentée dans l'année qui suit la naissance du droit celle que l'assuré empêché d'agir à temps par un cas de force majeure présente plus tard, dans un délai convenable – qui n'a pas été précisé - après la cessation de l'empêchement. Encore faut-il qu'il s'agisse d'une impossibilité objective s'étendant sur la période au cours de laquelle l'assuré</w:t>
      </w:r>
    </w:p>
    <w:p>
      <w:r>
        <w:t>A/1536/2012 - 8/9 - se serait vraisemblablement annoncé à l'assurance s'il l'avait pu et non d'une difficulté ou d'un motif subjectif comme d'ignorer son droit ou de mal concevoir ses intérêts (ATF 102 V consid. 2a p. 115). En l'espèce et au vu de la jurisprudence restrictive rappelée supra, l'argument du recourant selon lequel il aurait été dans une confusion mentale telle qu’elle devrait être considérée comme un cas de force majeure ne saurait être retenu. En effet, ainsi que l’a fait remarquer l’intimé, le Dr N__________ a nié avoir jamais observé un tel état chez son patient. Le Dr O__________ a d’ailleurs expliqué que la confusion mentale qu’il évoquait faisait partie d’une période d’exacerbation de la maladie bipolaire, et qu’elle évoluait par vagues : parfois, l’assuré est parfaitement bien, d’autres fois, totalement incapable de gérer ses affaires. Dans cette mesure, il était parfaitement exigible de l’assuré qu’il saisisse l’intimé d’une nouvelle demande de prestations durant l’une des périodes d’accalmie de son état.</w:t>
      </w:r>
    </w:p>
    <w:p>
      <w:r>
        <w:rPr>
          <w:b/>
        </w:rPr>
        <w:t>E. 9</w:t>
      </w:r>
    </w:p>
    <w:p>
      <w:r>
        <w:t>Il convient enfin d'examiner si la demande déposée par l'assuré précédemment, le 27 septembre 2002, était suffisamment concrète pour justifier la sauvegarde de son droit dès cet instant, comme semble le défendre le recourant. En effet, bien que les prestations sociales ne soient en principe servies qu'à la demande de l'ayant droit, le TF a estimé qu'en s'annonçant à l'assurance-invalidité, l'assuré sauvegarde tous ses droits à des prestations d'assurance, même s'il n'en précise pas la nature exacte (VSI 1998 p. 212 consid. 2a). Force est cependant de constater que l’on ne saurait reprocher à l’intimé de ne pas s’être, alors, penché sur l’état psychique du recourant, dont ce dernier lui-même reconnaît qu’il ne s’est dégradé que postérieurement à la première décision de l’OAI. Ainsi, seul le dépôt d’une nouvelle demande pouvait justifier que celui-ci réexamine la situation. Eu égard aux considérations qui précèdent, le recours est rejeté comme manifestement infondé.</w:t>
      </w:r>
    </w:p>
    <w:p>
      <w:r>
        <w:t>A/1536/2012 - 9/9 -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