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ATAS/690/2020 vom 26. August 2020</w:t>
      </w:r>
    </w:p>
    <w:p>
      <w:r>
        <w:t>GE Cour de justice, 2020-08-26, FR</w:t>
      </w:r>
    </w:p>
    <w:p>
      <w:r>
        <w:rPr>
          <w:b/>
        </w:rPr>
        <w:t xml:space="preserve">Quelle: </w:t>
      </w:r>
      <w:r>
        <w:t>https://mcp.opencaselaw.ch/entscheid/ge_gerichte_ATAS_690_2020</w:t>
      </w:r>
    </w:p>
    <w:p>
      <w:r>
        <w:t>FR: GE_GERICHTE ATAS/690/2020 du 26 août 2020</w:t>
      </w:r>
    </w:p>
    <w:p>
      <w:r>
        <w:t>IT: GE_GERICHTE ATAS/690/2020 del 26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présent recours est recevable (art. 56 et 60 LPGA ; art. 89B de la loi sur la procédure administrative du 12 septembre 1985 - [LPA - E 5 10]).</w:t>
      </w:r>
    </w:p>
    <w:p>
      <w:r>
        <w:rPr>
          <w:b/>
        </w:rPr>
        <w:t>E. 4</w:t>
      </w:r>
    </w:p>
    <w:p>
      <w:r>
        <w:t>Le litige porte sur le droit de l’intimé de réclamer au recourant le remboursement de la somme de CHF 40'995.-, représentant le rétroactif des rentes d'invalidité versées du 1er juillet 2013 au 30 juin 2019.</w:t>
      </w:r>
    </w:p>
    <w:p>
      <w:r>
        <w:t>A/3938/2019 - 6/10 -</w:t>
      </w:r>
    </w:p>
    <w:p>
      <w:r>
        <w:rPr>
          <w:b/>
        </w:rPr>
        <w:t>E. 5</w:t>
      </w:r>
    </w:p>
    <w:p>
      <w:r>
        <w:t>a. Selon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Conformément à l’art. 3 de l’ordonnance sur la partie générale du droit des assurances sociales du 11 septembre 2002 (OPGA - RS 830.11), l’étendue de l’obligation de restituer est fixée par une décision (al. 1), dans laquelle l’assureur indique la possibilité d’une remise (al. 2).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w:t>
      </w:r>
    </w:p>
    <w:p>
      <w:r>
        <w:rPr>
          <w:b/>
        </w:rPr>
        <w:t>E. 6</w:t>
      </w:r>
    </w:p>
    <w:p>
      <w:r>
        <w:t>a.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2002 consid. 5.1.1 et 5.2).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Les délais de l'art. 25 al. 2 LPGA sont des délais (relatif et absolu) de péremption, qui doivent être examinés d'office (ATF 142 V 20 consid. 3.2.2 ;</w:t>
      </w:r>
    </w:p>
    <w:p>
      <w:r>
        <w:t>A/3938/2019 - 7/10 - ATF 133 V 579 consid. 4). Ils ne peuvent par conséquent être interrompus. Lorsque l'autorité a accompli l'acte conservatoire que prescrit la loi, le délai se trouve sauvegardé, cela une fois pour toutes (arrêt du Tribunal fédéral 8C_616/2009 du 14 décembre 2009 consid. 3.1 et les références). Si la créance naît d'un acte punissable pour lequel le droit pénal prévoit un délai plus long, celui-ci est déterminant (art. 25 al. 2, 2ème phrase, LPGA). En matière d'invalidité, ce sont principalement les infractions réprimées aux art. 146 CP (« Escroquerie ») et art. 87 LAVS (« Délits »), applicable par le renvoi de l'art. 70 LAI, qui entrent en considération. En particulier, celui qui aura manqué à son obligation de communiquer (art. 31 al. 1 LPGA) sera puni d'une peine pécuniaire de 180 jours-amende au plus, à moins qu'il ne s'agisse d'un crime ou d'un délit frappé d'une peine plus lourde (art. 87, cinquième paragraphe, LAVS).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 arrêt du Tribunal fédéral 8C_592/2007 du 20 août 2008 consid. 5.4.3 et les références). Lorsque le délai de prescription de plus longue durée prévu par le droit pénal s’applique, le point de savoir si l’administration a agi dans le délai relatif d’une année peut rester ouvert (cf. arrêt du Tribunal fédéral 9C_400/2016 du 2 novembre 2016 consid. 4.1 et 5.2). Le Tribunal fédéral a jugé que les conditions objectives et subjectives de l’art. 87 LAVS étaient réalisées dans le cas d’un assuré qui n’avait pas annoncé son augmentation de salaire à l’office cantonal AI en dépit de l’envoi de plusieurs correspondances mentionnant l’obligation de communiquer tout changement de salaire. L’assuré ne pouvait en effet ignorer l’importance que revêtait la communication de toute information d’ordre économique le concernant et ne pouvait se reposer sur les seules indications transmises par l’employeur puisqu’il était personnellement tenu d’annoncer l’augmentation de ses revenus Ainsi, le délai de péremption de plus longue durée prévu par le droit pénal, soit en l'occurrence sept ans (art. 97 al. 1 CP), était applicable (arrêt du Tribunal fédéral 9C_400/2016 du 2 novembre 2016).</w:t>
      </w:r>
    </w:p>
    <w:p>
      <w:r>
        <w:rPr>
          <w:b/>
        </w:rPr>
        <w:t>E. 7</w:t>
      </w:r>
    </w:p>
    <w:p>
      <w:r>
        <w:t>a. En l’espèce, la chambre de céans rappelle tout d’abord qu’elle a déjà jugé, par arrêt du 26 février 2020 entré en force (ATAS/159/2020), que l’intimé était fondé à supprimer la rente versée au recourant, avec effet rétroactif au 1er juillet 2013. Les prestations indûment touchées doivent donc en principe être restituées.</w:t>
      </w:r>
    </w:p>
    <w:p>
      <w:r>
        <w:t>A/3938/2019 - 8/10 - b. Elle constate ensuite, conformément à la jurisprudence précitée, que la créance de l’intimé est née d'un acte punissable pour lequel le droit pénal prévoit un délai de prescription de sept ans. L’intimé pouvait donc, par décision du 8 octobre 2019, requérir la restitution des prestations versées à tort dès le 1er juillet 2013. c. Enfin, aucun élément ne permet de s’écarter des montants retenus par l’intimé. D’ailleurs, le recourant ne conteste pas la somme de CHF 40'995.- réclamée. Son écriture reprend en réalité les arguments développés dans son recours à l’encontre de la décision de suppression de rente avec effet rétroactif du 10 septembre 2019, décision confirmée dans l’intervalle par la chambre de céans, ainsi que dans sa demande de remise envoyée à la caisse de compensation le 21 octobre 2019.</w:t>
      </w:r>
    </w:p>
    <w:p>
      <w:r>
        <w:rPr>
          <w:b/>
        </w:rPr>
        <w:t>E. 8</w:t>
      </w:r>
    </w:p>
    <w:p>
      <w:r>
        <w:t>Dans ces conditions, la chambre de céans ne peut que confirmer la décision de restitution du 8 octobre 2019.</w:t>
      </w:r>
    </w:p>
    <w:p>
      <w:r>
        <w:rPr>
          <w:b/>
        </w:rPr>
        <w:t>E. 9</w:t>
      </w:r>
    </w:p>
    <w:p>
      <w:r>
        <w:t>Dans la mesure où le recourant invoque, dans son écriture du 21 octobre 2019, sa bonne foi et sa situation financière difficile, il convient encore d’examiner la recevabilité d’une demande de remise.</w:t>
      </w:r>
    </w:p>
    <w:p>
      <w:r>
        <w:rPr>
          <w:b/>
        </w:rPr>
        <w:t>E. 10</w:t>
      </w:r>
    </w:p>
    <w:p>
      <w:r>
        <w:t>a. Aux termes de l'art. 49 al. 1 LPGA, l'assureur doit rendre par écrit les décisions qui portent sur des prestations, créances ou injonctions importantes ou avec lesquelles l'intéressé n'est pas d'accord. Conformément à l’art. 52 al. 1 LPGA, les décisions peuvent être attaquées dans les trente jours par voie d’opposition auprès de l’assureur qui les a rendues, à l’exception des décisions d’ordonnancement de la procédure. Selon l’art. 56 al. 1 LPGA, les décisions sur opposition et celles contre lesquelles la voie de l’opposition n’est pas ouverte sont sujettes à recours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et les références). La procédure d’opposition est obligatoire et constitue une condition formelle de validité de la procédure de recours subséquente. À défaut d’une décision susceptible de recours, à savoir une décision sur opposition, le juge n’est pas autorisé à se saisir de l’affaire (arrêt du Tribunal fédéral des assurances P 63/06 du</w:t>
      </w:r>
    </w:p>
    <w:p>
      <w:r>
        <w:rPr>
          <w:b/>
        </w:rPr>
        <w:t>E. 14</w:t>
      </w:r>
    </w:p>
    <w:p>
      <w:r>
        <w:t>mars 2007 consid. 4.2.1 et 4.2.2 et les références). 11. a. En l’occurrence, il est rappelé que le recourant a adressé une demande de remise à l’autorité compétente, soit la caisse de compensation, le 21 octobre 2019.</w:t>
      </w:r>
    </w:p>
    <w:p>
      <w:r>
        <w:t>A/3938/2019 - 9/10 - L’intimé n'a cependant pas encore statué sur cette remise, dès lors qu'une telle décision n'est prise, sur demande, que lorsque la décision de restitution est entrée en force. Dans ces circonstances, un recours par-devant la chambre de céans est en l’état prématuré. b. Par conséquent, l’intimé sera invité à statuer sur la demande de remise du recourant en lui notifiant une décision formelle. 12. Eu égard à tout ce qui précède, le recours du 21 octobre 2019 sera rejeté et la décision de restitution du 8 octobre 2019 confirmée. 13. Un émolument de CHF 200.- sera mis à la charge du recourant (art. 69 al. 1bis LAI).</w:t>
      </w:r>
    </w:p>
    <w:p>
      <w:r>
        <w:t>A/3938/2019 - 10/10 -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