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ATAS/690/2018 vom 20. August 2018</w:t>
      </w:r>
    </w:p>
    <w:p>
      <w:r>
        <w:t>GE Cour de justice, 2018-08-20, FR</w:t>
      </w:r>
    </w:p>
    <w:p>
      <w:r>
        <w:rPr>
          <w:b/>
        </w:rPr>
        <w:t xml:space="preserve">Quelle: </w:t>
      </w:r>
      <w:r>
        <w:t>https://mcp.opencaselaw.ch/entscheid/ge_gerichte_ATAS_690_2018</w:t>
      </w:r>
    </w:p>
    <w:p>
      <w:r>
        <w:t>FR: GE_GERICHTE ATAS/690/2018 du 20 août 2018</w:t>
      </w:r>
    </w:p>
    <w:p>
      <w:r>
        <w:t>IT: GE_GERICHTE ATAS/690/2018 del 20 agosto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w:t>
      </w:r>
    </w:p>
    <w:p>
      <w:r>
        <w:t>A/1127/2017 - 10/18 -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demi-rente d’invalidité non limitée dans le temps et, plus particulièrement sur la valeur probante des pièces médicales au dossier et sur le caractère complet de l’instruction du dossier par l’OAI.</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w:t>
      </w:r>
    </w:p>
    <w:p>
      <w:r>
        <w:t>A/1127/2017 - 11/18 -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b/aa.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w:t>
      </w:r>
    </w:p>
    <w:p>
      <w:r>
        <w:t>A/1127/2017 - 12/18 -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w:t>
      </w:r>
    </w:p>
    <w:p>
      <w:r>
        <w:rPr>
          <w:b/>
        </w:rPr>
        <w:t>E. 7</w:t>
      </w:r>
    </w:p>
    <w:p>
      <w:r>
        <w:t>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du Tribunal fédéral des assurances I 750/04 du 5 avril 2006 consid. 5.3, in SVR 2007 IV n° 1 p. 1; I 11/00 du 22 août 2001 consid. 5a/bb, in VSI 2001 p. 274). b. La notion de marché équilibré du travail, théorique et abstraite, sert de critère de distinction entre les cas relevant de l'assurance-chômage ou de l'assurance- invalidité. Elle présuppose un équilibre entre l'offre et la demande de main d'œuvre d'une part et un marché du travail structuré (permettant d'offrir un éventail d'emplois diversifiés, tant au regard des sollicitations intellectuelles que physiques) d'autre part (cf. ATF 110 V 273 consid. 4b p. 276; voir également arrêt I 350/89 du 30 avril 1991 consid. 3 in RCC 1991 p. 329). Il est certes possible de s'écarter de la notion de marché équilibré du travail lorsque, notamment, l'activité exigible, au</w:t>
      </w:r>
    </w:p>
    <w:p>
      <w:r>
        <w:t>A/1127/2017 - 13/18 -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arrêts 9C_984/2008 du 4 mai 2008 consid. 6.2; I 350/89 du 30 avril 1991 consid. 3b in RCC 1991 p. 329; I 329/88 du 25 janvier 1989 consid. 4a in RCC 1989 p. 328;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par exemple arrêts 9C_144/2010 du 10 décembre 2010 consid. 4.1; 9C_881/2009 du 1 er juin 2010 consid. 4.2.3 déjà cités). c.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(arrêt du Tribunal fédéral des assurances I 377/98 du 28 juillet 1999 consid. 1 et les références, in VSI 1999 p. 246).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références). Selon le Tribunal fédéral, un âge proche de 60 ans peut être considéré comme un seuil à partir duquel on peut parler d'âge avancé (arrêt du Tribunal fédéral 9C_612/2007 du 14 juillet 2008 consid. 5.2).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A/1127/2017 - 14/18 -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l’espèce, l’intimé a rendu la décision querellée sur la base de l’avis du SMR du 25 avril 2014, établi à la suite de l’appréciation du Dr E______ du 14 avril 2014. Il convient dès lors d’examiner la valeur probante de ces rapports. A titre liminaire, il sied de relever que l’avis du SMR du 25 avril 2014 constitue un rapport au sens de l'art. 59 al. 2bis LAI précité et qu’il a pour seule fonction d'opérer la synthèse des renseignements médicaux et de prodiguer des recommandations quant à la suite à donner au dossier. Il ne peut comporter des conclusions nouvelles. En tant qu’il porte une appréciation sur la situation médicale du recourant compte tenu, essentiellement, des conclusions du Dr E______ du</w:t>
      </w:r>
    </w:p>
    <w:p>
      <w:r>
        <w:rPr>
          <w:b/>
        </w:rPr>
        <w:t>E. 14</w:t>
      </w:r>
    </w:p>
    <w:p>
      <w:r>
        <w:t>avril 2014, il convient d’examiner la valeur probante du rapport du médecin d’arrondissement précité et, cela fait, la cohérence de l’avis du SMR. Force est de constater que le rapport du 14 avril 2014 du Dr E______ remplit sur le plan formel toutes les exigences auxquelles la jurisprudence soumet la valeur probante d'un tel document. Il contient le résumé du dossier, les indications subjectives du recourant, des observations cliniques, ainsi qu’une discussion générale du cas. Ses conclusions, qui résultent d'une analyse complète de la situation médicale, sont claires, bien motivées et convaincantes. Sur le fond, le Dr E______ a évoqué les diagnostics de fracture-luxation radio- carpienne droite ayant nécessité un traitement chirurgical et arthrose radio- carpienne évolutive. Au vu des plaintes du recourant (douleur fluctuante, améliorée par le traitement anti-inflammatoire et antalgique, par moments, douleurs de type électrique au niveau des doigts de la main droite), le médecin d’arrondissement a retenu les limitations fonctionnelles suivantes : pas de port de charges répétitif de plus de 10 kg, pas d’utilisation d’outils vibratoires ou de perçage lourd, pas de mouvements répétitifs du poignet droit et pas de mouvements nécessitant une force de serrage répétitive. Dans une activité adaptée à ces limitations, la capacité de travail était entière. Certes, l’appréciation du 14 avril 2014 a été établie par le médecin d’arrondissement de la SUVA. Toutefois, en tant que le Dr E______ ne limite pas son examen et ses constatations aux seules questions relevantes pour l’assurance- accidents, ses rapports peuvent être pris en considération par l’OAI pour l’appréciation de la capacité de travail (voir arrêt du Tribunal fédéral 8C_691/2008 du 1er octobre 2008 consid.3.2). Certes, le médecin d’arrondissement précité n’a pas évoqué le CRPS secondaire dans son appréciation finale. Cela n’est toutefois pas surprenant, dès lors que le Dr B______ a lui-même fait état d’un status post</w:t>
      </w:r>
    </w:p>
    <w:p>
      <w:r>
        <w:t>A/1127/2017 - 15/18 - CRPS dans son rapport du 4 février 2014, ce qui laisse sous-entendre que l’atteinte était guérie à cette date. Dans ces circonstances, aucune critique ne peut être formulée à l’encontre du SMR qui n’a fait que reprendre les conclusions du rapport du médecin d’arrondissement de la SUVA, auquel une pleine valeur probante doit être reconnue. b.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l’espèce, le recourant ne conteste pas les conclusions du Dr E______ mais reproche à l’OAI de ne pas avoir entrepris une instruction complémentaire au vu des certificats établis par ses médecins et du délai entre l’appréciation du SMR (25 avril 2014), le projet de décision (4 octobre 2016) et la décision querellée (24 février 2017). Certes, on peut se demander pour quels motifs le projet de décision n’a été rendu que le 4 octobre 2016 alors que l’avis de SMR, dont il ressort qu’une capacité de travail entière dans une activité adaptée était exigible, date du 25 avril 2014 et que les mesures de reclassement au sein de l’entreprise G______ ont été interrompues au cours de l’été 2015. Ce long délai ne justifie toutefois pas la reprise de l’instruction médicale en l’absence d’éléments plaidant en faveur d’une aggravation de l’état de santé du recourant. Or, force est de constater qu’entre l’avis du SMR du 25 avril 2014 et la décision querellée, seuls deux rapports ont été adressés à l’OAI :  un rapport intermédiaire établi par le Dr B______, datant du 2 juin 2014, antérieur aux mesures de reclassement, et  un certificat de la Dresse F______ du 15 avril 2015, faisant état d’une incapacité de travail de 50% depuis le 15 avril 2015, pour une durée indéterminée. Aucun de ces médecins n’explique en quoi les conclusions du Dr E______ seraient erronées et aucun d’entre eux n’évoque une aggravation de l’état de santé.</w:t>
      </w:r>
    </w:p>
    <w:p>
      <w:r>
        <w:t>Postérieurement à la décision litigieuse, le recourant a encore produit les deux documents suivants :  un certificat de la Dresse H______ du 25 octobre 2017 attestant également d’une incapacité de travail de 50% du 25 octobre au 30 novembre 2017 ;</w:t>
      </w:r>
    </w:p>
    <w:p>
      <w:r>
        <w:t>A/1127/2017 - 16/18 -  un rapport de la Dresse H______ du 31 octobre 2017, dans lequel ce médecin rappelle les diagnostics et précise que la capacité de travail est de 50%, « selon le patient une augmentation de cette capacité est impossible en raison des douleurs ». Comme c’était déjà le cas des Drs B______ et F______, la Dresse H______ n’évoque aucune aggravation de l’état de santé du recourant. Elle semble uniquement se fonder sur le ressenti du recourant pour lui reconnaître une incapacité de travail de 50% en raison de douleurs, lesquelles ont au demeurant déjà été prises en considération par le Dr E______ dans son appréciation du 15 avril 2014. En réalité, aucun des médecins traitants n’a expliqué en quoi une activité adaptée aux limitations d’épargne du poignet telles que retenues par le Dr E______ et le SMR ne serait pas exigible du recourant au vu des atteintes que celui-ci présentait. Le recourant évoque également le fait qu’aucun séjour n’a été organisé à la CRR alors que cela avait pourtant été conseillé par la Dresse C______. Cet argument tombe toutefois à faux, dès lors que le Dr E______ a conclu, postérieurement à l’appréciation de la Dresse C______, qu’un tel séjour n’était pas nécessaire, étant seulement utile en cas de changement de profession. Or, quoi qu’il en dise aujourd’hui, le recourant n’a jamais émis le souhait de changer de profession. Au demeurant, la SUVA s’est fondée sur l’appréciation de son médecin traitant pour mettre un terme au versement des indemnités journalières et octroyer une rente de 17% au recourant. Or, il ne ressort pas du dossier que ce dernier aurait contesté cette rente, ce qui démontre bien qu’il était en accord avec les conclusions du Dr E______. c. Il ressort plutôt des pièces du dossier et de l’audition du recourant que ce dernier ne sait pas quelle autre profession pourrait lui convenir et qu’il craint que son âge ne l’empêche de trouver une activité adaptée. Il préfère ainsi continuer à travailler pour son employeur et n’exercer que des tâches légères, son revenu étant alors complété par la rente d’invalidité de 17% versée par la SUVA et idéalement également par la demi-rente d’invalidité de l’AI à laquelle il conclut dans son recours. Dans ce contexte, il y a lieu de préciser, en lien avec l’absence de désignation des activités compatibles avec les limitations du recourant, que le Tribunal fédéral a jugé que s’il eût certainement été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Ainsi, l’absence de désignation des activités adaptées</w:t>
      </w:r>
    </w:p>
    <w:p>
      <w:r>
        <w:t>A/1127/2017 - 17/18 - envisageables ne saurait constituer un motif pour contraindre à l’OAI à mener une instruction complémentaire. Par ailleurs, le recourant n’est pas à un âge (presque 51 ans) qui puisse être considéré comme un seuil à partir duquel on peut parler d'âge avancé (arrêt du Tribunal fédéral 9C_612/2007 du 14 juillet 2008 consid. 5.2, dans lequel l’âge de 60 ans est évoqué). Son âge constitue ainsi un facteur étranger à l'invalidité qui n'entre pas en considération pour l'octroi de prestations. Il en va de même du manque de formation. 10. Au vu des considérations qui précèdent, force est de constater que le recourant n’a pas été en mesure de faire valoir des éléments objectifs précis justifiant, d'un point de vue médical, d'envisager la situation selon une perspective différente, nécessitant ainsi une instruction complémentaire. Il convient donc de retenir que le rapport du Dr E______ dispose d’une pleine valeur probante et que c’est à juste titre que le SMR et l’OAI ont retenu une capacité de travail entière dans une activité adaptée dès le mois d’avril 2014 sans qu’il ne soit nécessaire de procéder à une instruction médicale complémentaire. 11. Dans la mesure où une capacité de travail entière dans une activité adaptée est possible, un changement de profession est exigible du recourant compte tenu de son obligation de diminuer le dommage. C’est donc à juste titre que l’OAI a déterminé le degré d’invalidité en se fondant sur les salaires statistiques, l’incapacité de travail ne se confondant en effet pas avec le degré d’invalidité. Les calculs effectués par l’OAI n’étant pas contestés en tant que tels par le recourant et ne prêtant au demeurant pas flanc à la critique, il n’y a pas lieu de les examiner plus en détails. 12. Au vu de ce qui précède, le recours sera rejeté. Etant donné que depuis le 1er juillet 2006, la procédure n'est plus gratuite (art. 69 al. 1bis LAI), il y a lieu de condamner le recourant au paiement d'un émolument de CHF 200.-.</w:t>
      </w:r>
    </w:p>
    <w:p>
      <w:r>
        <w:t>A/1127/2017 - 18/18 -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