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ATAS/68/2018 vom 29. Januar 2018</w:t>
      </w:r>
    </w:p>
    <w:p>
      <w:r>
        <w:t>GE Cour de justice, 2018-01-29, FR</w:t>
      </w:r>
    </w:p>
    <w:p>
      <w:r>
        <w:rPr>
          <w:b/>
        </w:rPr>
        <w:t xml:space="preserve">Quelle: </w:t>
      </w:r>
      <w:r>
        <w:t>https://mcp.opencaselaw.ch/entscheid/ge_gerichte_ATAS_68_2018</w:t>
      </w:r>
    </w:p>
    <w:p>
      <w:r>
        <w:t>FR: GE_GERICHTE ATAS/68/2018 du 29 janvier 2018</w:t>
      </w:r>
    </w:p>
    <w:p>
      <w:r>
        <w:t>IT: GE_GERICHTE ATAS/68/2018 del 29 gennaio 2018</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Il résulte des nouvelles pièces que l’intimé a transmises à la chambre de céans que la recourante souffre également d’une pathologie au niveau C4-C5 et C5-C6, ainsi que C6-C7. Selon le rapport du Dr M______ du 20 septembre 2017 de l’institut d’imageries médicales (consultation de la douleur), une partie de la symptomatologie dont souffre la recourante pourrait être expliquée par ces atteintes. Cela étant, il appert qu’il y a lieu de compléter l’instruction, afin de déterminer si la scapulalgie avec irradiation brachialgique gauche est en rapport avec la pathologie au niveau cervical.</w:t>
      </w:r>
    </w:p>
    <w:p>
      <w:r>
        <w:rPr>
          <w:b/>
        </w:rPr>
        <w:t>E. 3</w:t>
      </w:r>
    </w:p>
    <w:p>
      <w:r>
        <w:t>Le mandat d’expertise sera confié au Dr O______.</w:t>
      </w:r>
    </w:p>
    <w:p>
      <w:r>
        <w:rPr>
          <w:b/>
        </w:rPr>
        <w:t>E. 4</w:t>
      </w:r>
    </w:p>
    <w:p>
      <w:r>
        <w:t>Au degré de la vraisemblance prépondérante, estimez-vous qu'il y a un lien de causalité entre les interventions médicales à l’épaule gauche, liées à l’accident, et la symptomatologie douloureuse au niveau de l’épaule et du membre supérieur gauches ?</w:t>
      </w:r>
    </w:p>
    <w:p>
      <w:r>
        <w:rPr>
          <w:b/>
        </w:rPr>
        <w:t>E. 5</w:t>
      </w:r>
    </w:p>
    <w:p>
      <w:r>
        <w:t>Quelle est la capacité de travail de l'expertisée dans une activité adaptée aux limitations fonctionnelles ?</w:t>
      </w:r>
    </w:p>
    <w:p>
      <w:r>
        <w:rPr>
          <w:b/>
        </w:rPr>
        <w:t>E. 6</w:t>
      </w:r>
    </w:p>
    <w:p>
      <w:r>
        <w:t>A-t-elle récupéré une capacité de travail résiduelle, et si oui de quel pourcentage et à partir de quelle date, après l’intervention du 4 février 2015 par le Dr D______ ?</w:t>
      </w:r>
    </w:p>
    <w:p>
      <w:r>
        <w:t>- 12/12-</w:t>
      </w:r>
    </w:p>
    <w:p>
      <w:r>
        <w:t>A/2301/2017</w:t>
      </w:r>
    </w:p>
    <w:p>
      <w:r>
        <w:rPr>
          <w:b/>
        </w:rPr>
        <w:t>E. 7</w:t>
      </w:r>
    </w:p>
    <w:p>
      <w:r>
        <w:t>Comment a évolué la capacité de travail de l’expertisée depuis juillet 2015 ?</w:t>
      </w:r>
    </w:p>
    <w:p>
      <w:r>
        <w:rPr>
          <w:b/>
        </w:rPr>
        <w:t>E. 8</w:t>
      </w:r>
    </w:p>
    <w:p>
      <w:r>
        <w:t>A partir de quand les atteintes aux cervicales étaient-elles présentes, selon toute vraisemblance, et dans quelle mesure (en pourcent) ont- elles influencé la capacité de travail ?</w:t>
      </w:r>
    </w:p>
    <w:p>
      <w:r>
        <w:rPr>
          <w:b/>
        </w:rPr>
        <w:t>E. 9</w:t>
      </w:r>
    </w:p>
    <w:p>
      <w:r>
        <w:t>Quel est votre pronostic ?</w:t>
      </w:r>
    </w:p>
    <w:p>
      <w:r>
        <w:t>D. Invite le Dr O______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