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ATAS/68/2011 vom 25. Januar 2011</w:t>
      </w:r>
    </w:p>
    <w:p>
      <w:r>
        <w:t>GE Cour de justice, 2011-01-25, FR</w:t>
      </w:r>
    </w:p>
    <w:p>
      <w:r>
        <w:rPr>
          <w:b/>
        </w:rPr>
        <w:t xml:space="preserve">Quelle: </w:t>
      </w:r>
      <w:r>
        <w:t>https://mcp.opencaselaw.ch/entscheid/ge_gerichte_ATAS_68_2011</w:t>
      </w:r>
    </w:p>
    <w:p>
      <w:r>
        <w:t>FR: GE_GERICHTE ATAS/68/2011 du 25 janvier 2011</w:t>
      </w:r>
    </w:p>
    <w:p>
      <w:r>
        <w:t>IT: GE_GERICHTE ATAS/68/2011 del 25 gennaio 2011</w:t>
      </w:r>
    </w:p>
    <w:p>
      <w:pPr>
        <w:pStyle w:val="Heading2"/>
      </w:pPr>
      <w:r>
        <w:t>Erwägungen</w:t>
      </w:r>
    </w:p>
    <w:p>
      <w:r>
        <w:rPr>
          <w:b/>
        </w:rPr>
        <w:t>E. 1</w:t>
      </w:r>
    </w:p>
    <w:p>
      <w:r>
        <w:t>Jusqu’au 31 décembre 2010, 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entrée en vigueur le 1er janvier 2003, est applicable au cas d’espèce.</w:t>
      </w:r>
    </w:p>
    <w:p>
      <w:r>
        <w:rPr>
          <w:b/>
        </w:rPr>
        <w:t>E. 3</w:t>
      </w:r>
    </w:p>
    <w:p>
      <w:r>
        <w:t>a) Interjeté dans les forme et délai prescrits, le recours est recevable (art. 5, 56 et 60 LPGA ; art. 89B de la loi sur la procédure administrative, du 12 septembre 1985 – LPA ; RS E 5 10). b) À teneur de l’art. 71 de la loi du 12 septembre 1985 sur la procédure administrative (LPA), l’autorité peut, d’office ou sur requête, ordonner l’appel en cause de tiers dont la situation juridique est susceptible d’être affectée par l’issue de la procédure. Dans ce cas, la décision leur devient opposable. D’une manière générale, dans les cantons qui comme celui de Genève connaissent cette institution de procédure,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L’appel en cause n’est pas destiné à faire intervenir ou à étendre la procédure à des personnes qui bénéficient déjà de la qualité de partie et qui ne participent pas pour une raison quelconque à la procédure. Il vise bien plutôt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de prévenir le prononcé</w:t>
      </w:r>
    </w:p>
    <w:p>
      <w:r>
        <w:t>A/3748/2009 - 9/15 - de décisions ou jugements contradictoires. Le tiers appelé en cause doit naturellement posséder la capacité d’être partie et la capacité d’ester (cf. ATFA non publié du 25 août 2003, B 47/02, consid. 3.2.1). Selon la jurisprudence, les décisions des caisses de compensation relatives à des cotisations paritaires doivent non seulement être notifiées à l'employeur, mais aussi aux salariés concernés. A défaut, la violation du droit d'être entendu en résultant peut être réparée par le Tribunal. L'appel en cause n'est pas nécessaire, si le nombre de salariés est élevé, si le domicile des salariés est à l'étranger et s'il s'agit de montants minimes (ATF 113 V 1; ATFA 1965 p.239 consid. 1 et 3; arrêt H 144/05 du 6 septembre 2006).</w:t>
      </w:r>
    </w:p>
    <w:p>
      <w:r>
        <w:rPr>
          <w:b/>
        </w:rPr>
        <w:t>E. 4</w:t>
      </w:r>
    </w:p>
    <w:p>
      <w:r>
        <w:t>Le litige porte sur les reprises de salaires effectuées par la caisse et en particulier sur le fait de déterminer si les sommes versées par la recourante sont considérées comme un salaire pour une activité de dépendant.</w:t>
      </w:r>
    </w:p>
    <w:p>
      <w:r>
        <w:rPr>
          <w:b/>
        </w:rPr>
        <w:t>E. 5</w:t>
      </w:r>
    </w:p>
    <w:p>
      <w:r>
        <w:t>a) 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e. les pourboires, s’ils représentent une part importante du salaire;</w:t>
      </w:r>
    </w:p>
    <w:p>
      <w:r>
        <w:t>A/3748/2009 - 10/15 - f. les prestations en nature ayant un caractère régulier; g. les provisions et les commissions. l. les honoraires des privat-docents et des autres personnes qui, dans l'enseignement, sont rétribués de manière analogue; b)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c)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w:t>
      </w:r>
    </w:p>
    <w:p>
      <w:r>
        <w:t>A/3748/2009 - 11/15 - l'assurance-vieillesse et survivants [LAVS], 1997, ch. 94 ad art. 4 LAVS et les références sous note n° 151). d)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Un autre facteur concourant à la reconnaissance de l’activité lucrative indépendante est l’exercice simultané d’activités pour plusieurs sociétés sous son propre nom, sans qu’il y ait dépendance à l’égard de celles-ci (RCC 1982 p. 208). A cet égard, ce n’est pas la possibilité juridique d’accepter des travaux de plusieurs mandants qui est déterminante, mais la situation de mandat effective. Certaines activités ne requièrent par nature pas "d'investissements élevés" (comme par exemple celles de conseiller ou de collaborateur libre). Le rapport de dépendance est alors mis au premier plan (RCC 1984, page 231; ATF 110 V 72).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 e) Le courtage est en règle générale considéré comme une activité indépendante (RCC 1988 p. 315 s. consid. 3c). Comme tout mandataire, le courtier est tenu</w:t>
      </w:r>
    </w:p>
    <w:p>
      <w:r>
        <w:t>A/3748/2009 - 12/15 - d'exécuter son mandat dans les règles et conformément aux instructions du mandant (art. 412 al. 2 CO en corrélation avec l'art. 397 CO). Au surplus, le contrat de courtage peut être révoqué en tout temps (art. 412 al. 2 CO en corrélation avec l'art. 404 CO) et selon l'art. 413 al. 1 CO, le courtier n'a en principe droit à son salaire que si l'indication qu'il a donnée ou la négociation qu'il a conduite aboutit à la conclusion du contrat. Ce dernier élément, qui met en lumière le caractère nettement aléatoire de l'activité de courtier, est important du point de vue du droit des assurances sociales qui fait du risque encouru par l'entrepreneur l'un des critères permettant de reconnaître l'existence d'une activité indépendante. Quant aux dépenses du courtier, elles ne lui sont remboursées, lors même que l'affaire n'a pas abouti, que si cela a été convenu (art. 413 al. 3 CO). Pour toutes ces raisons, il s'impose généralement de considérer que le courtier exerce une activité indépendante (Gustavo Scartazzini, in Greber/Duc/Scartazzini, Commentaire des art. 1 à 16 de la loi fédérale sur l'assurance-vieillesse et survivants [LAVS], 1966, ch. m. 159 ad art. 5 LAVS).</w:t>
      </w:r>
    </w:p>
    <w:p>
      <w:r>
        <w:t>Selon l'article 322b CO, s'il est convenu que le travailleur a droit à une provision sur certaines affaires, elle lui est acquise dès que l'affaire a été valablement conclue avec le tiers.</w:t>
      </w:r>
    </w:p>
    <w:p>
      <w:r>
        <w:rPr>
          <w:b/>
        </w:rPr>
        <w:t>E. 6</w:t>
      </w:r>
    </w:p>
    <w:p>
      <w:r>
        <w:t>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w:t>
      </w:r>
    </w:p>
    <w:p>
      <w:r>
        <w:rPr>
          <w:b/>
        </w:rPr>
        <w:t>E. 7</w:t>
      </w:r>
    </w:p>
    <w:p>
      <w:r>
        <w:t>Dans le cas d'espèce, en premier lieu, la caisse admet maintenant et à juste titre que Monsieur C__________ a exercé l'activité de courtier indépendant de 2005 à 2008, puis dans le cadre de sa société, de sorte que les commissions versées ne sont pas du salaire au sens de l'AVS. L'audition des intéressés a permis d'établir que les appelés en cause ne recevaient pas d'instruction de la société, avec laquelle ils n'avaient aucun lien de subordination, les rapports se limitant à proposer une affaire immobilière à l'agence. Ils percevaient une rémunération seulement si la vente aboutissait de sorte qu'il faut</w:t>
      </w:r>
    </w:p>
    <w:p>
      <w:r>
        <w:t>A/3748/2009 - 13/15 - admettre qu'ils supportaient le risque de l'entrepreneur indépendant, malgré l'absence d'investissement ou de personnel, critère non déterminant dans le cadre de courtiers et de conseillers personnels, selon la jurisprudence. En l'absence d'investissement, le rapport de dépendance est alors mis au premier plan et la rétribution à qualifier doit être considérée pour elle-même, d'après la situation dans laquelle se trouve la personne considérée au moment où elle acquiert cette rétribution. Manifestement, il n'y a aucun rapport de dépendance entre les intéressés et l'agence immobilière lorsque l'affaire est amenée et donne lieu à une commission. Bien que le critère de la liberté d'organisation du travail ne soit pas seul déterminant, il faut relever que les appelés en cause n'avaient aucune obligation contractuelle de proposer un nombre déterminé ou même une seule affaire immobilière à l'agence, mais étaient totalement libres de le faire ou pas, à leur seule convenance. Cela vaut tant pour les trois personnes qui, au gré d'une rencontre de hasard, ont mis en contact une connaissance et une employée de l'agence en vue de la conclusion d'une vente immobilière à une unique reprise que pour Madame F__________, qui a proposé deux affaires en 2005 seulement. A cet égard, c'est bien l'absence totale de régularité dans la collaboration, les intéressés n'étant pas tenus de fournir une quelconque prestation et le fait que la relation contractuelle entre les intéressés et l'agence se limite au versement d'une commission en cas de vente qui sont déterminants pour retenir que l'activité n'a pas de caractère de dépendance. En second lieu, il faut donc retenir, s'agissant de Mesdames D__________ et E__________ ainsi que de Monsieur B__________, que les commission versées, à une seule reprise pour chacun d'eux ne constitue pas du salaire au sens de l'AVS. Bien que les éléments mentionnés ci-dessus valent pour tous les intéressés, la caisse fonde sa décision concernant Madame F__________ sur le fait que les deux courtages conclus ont été sa seule activité rémunérée en 2005 et qu'elle a pris langue avec le chef de l'agence immobilière pour ce faire. D'une part, on ne voit pas en quoi, au risque de heurter le principe de l'égalité entre hommes et femmes, la même activité de courtage serait dépendante, lorsqu'elle est exercée à côté de celle de mère au foyer et pourrait ne pas l'être, exercée au côté d'une activité lucrative salariée pour un tiers. D'autre part, l'intéressée n'a pas pris contact avec l'agence pour obtenir du travail, mais pour annoncer qu'elle souhaitait proposer des affaires et convenir, ce qui est le seul élément essentiel du courtage, du pourcentage en cas de vente. Pour le surplus, les éléments déterminants de son activité (absence d'instructions, de lien de subordination et de régularité; risque économique, etc.) ont été exactement les mêmes que pour les autres intéressés, à la différence qu'elle a souhaité s'installer comme courtière en s'inscrivant au RC, sans succès au vu des indications données. Le fait qu'elle ait omis de s'inscrire auprès d'une caisse AVS en tant qu'indépendante n'est pas déterminant pour considérer les commissions versées comme du salaire. Le fait qu'elle n'ai pas réussi à développer son activité comme elle le souhaitait (et comme Monsieur C__________) n'est pas déterminant</w:t>
      </w:r>
    </w:p>
    <w:p>
      <w:r>
        <w:t>A/3748/2009 - 14/15 - non plus. Pour terminer, le critère de la multiplicité des clients n'est d'aucun secours dans le cas d'espèce, dès lors qu'un courtier indépendant peut fort bien proposer des affaires à une seule agence sans être dépendant et que, dans le cas de Madame F__________, ses affaires se sont limitées à deux courtages, en tout, depuis 2005, ce qui démontre qu'aucune régularité n'a été convenue entre les parties. En dernier lieu donc, la Cour retiendra que le cas de Madame F__________ ne diffère pas des autres et que les deux commissions versées ne constituent pas du salaire au sens de l'AVS.</w:t>
      </w:r>
    </w:p>
    <w:p>
      <w:r>
        <w:rPr>
          <w:b/>
        </w:rPr>
        <w:t>E. 8</w:t>
      </w:r>
    </w:p>
    <w:p>
      <w:r>
        <w:t>Le recours est donc bien fondé et il est admis, de sorte que la décision sur opposition de la caisse du 23 septembre 2009 est annulée, en ce qui concerne les appelés en cause. Elle est confirmée en tant qu'elle renonce à la reprise de salaire pour Monsieur H__________. La recourante, qui est assistée d'un avocat et obtient gain de cause, a droit à une indemnité à titre de participation à ses frais et dépens, que le Tribunal fixe en l'espèce à 2'000 fr. (art. 61 let. g LPGA ; art. 89H al. 3 LPA).</w:t>
      </w:r>
    </w:p>
    <w:p>
      <w:r>
        <w:t>A/3748/2009 - 15/15 -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