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ATAS/689/2025 vom 10. September 2025</w:t>
      </w:r>
    </w:p>
    <w:p>
      <w:r>
        <w:t>GE Cour de justice, 2025-09-10, FR</w:t>
      </w:r>
    </w:p>
    <w:p>
      <w:r>
        <w:rPr>
          <w:b/>
        </w:rPr>
        <w:t xml:space="preserve">Quelle: </w:t>
      </w:r>
      <w:r>
        <w:t>https://mcp.opencaselaw.ch/entscheid/ge_gerichte_ATAS_689_2025</w:t>
      </w:r>
    </w:p>
    <w:p>
      <w:r>
        <w:t>FR: GE_GERICHTE ATAS/689/2025 du 10 septembre 2025</w:t>
      </w:r>
    </w:p>
    <w:p>
      <w:r>
        <w:t>IT: GE_GERICHTE ATAS/689/2025 del 10 settembre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2.1</w:t>
      </w:r>
    </w:p>
    <w:p>
      <w:r>
        <w:t>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w:t>
      </w:r>
    </w:p>
    <w:p>
      <w:r>
        <w:t>A/3010/2024 - 11/17 -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2.2</w:t>
      </w:r>
    </w:p>
    <w:p>
      <w:r>
        <w:t>En l’espèce, l’intimée fait valoir que le recourant ne s’est opposé que partiellement à la décision du 29 février 2024, en ce sens qu’il n’avait pas contesté l’appréciation médicale du Dr F______ selon lequel sa situation médicale était stabilisée et qu’il présentait une pleine capacité de travailler dans une activité adaptée moyennant le respect de certaines limitations fonctionnelles. La chambre de céans retient, sur la base de la jurisprudence précitée, que l'objet du litige est le droit du recourant à une rente d'invalidité et à une IPAI de plus de 25%, ce qui correspond à ses conclusions expresses et à l’objet de la décision attaquée. Le fait que le recourant n’ait pas contesté la stabilisation de son état de santé, ni la capacité de travailler et les limitations fonctionnelles retenues par l’intimée dans sa décision du 23 juillet 2024 ne peut lui être opposé, car il existe un rapport de connexité étroit entre ces questions et son droit à une rente d’invalidité. En effet, selon l’art. 19 al. 1 LAA, le droit à la rente prend naissance dès qu’il n’y a plus lieu d’attendre de la continuation du traitement médical une sensible amélioration de l’état de santé de l’assuré. De plus le taux d’invalidité dépend de la capacité de travail et des limitations fonctionnelles (art. 16 LPGA). Ces questions ne peuvent être considérées comme décidées et entrées en force de chose jugée que lorsqu'il a été statué de manière définitive à son sujet par une décision entrée en force de chose jugée sur le rapport juridique litigieux, soit le droit à la rente d'invalidité dans son ensemble (cf. ATF 125 V 413 consid. 2b p. 416 ; arrêt du Tribunal fédéral 9C_488/2008 consid. 4, in SVR 2009 IV n. 7 p. 13). Il en résulte que les questions de la stabilisation de l’état de santé du recourant, de ses limitations fonctionnelles et de sa capacité de travail entrent dans l’objet du litige.</w:t>
      </w:r>
    </w:p>
    <w:p>
      <w:r>
        <w:rPr>
          <w:b/>
        </w:rPr>
        <w:t>E. 3</w:t>
      </w:r>
    </w:p>
    <w:p>
      <w:r>
        <w:t>Le droit du recourant à une rente d’invalidité sera examiné en premier lieu.</w:t>
      </w:r>
    </w:p>
    <w:p>
      <w:r>
        <w:rPr>
          <w:b/>
        </w:rPr>
        <w:t>E. 3.1</w:t>
      </w:r>
    </w:p>
    <w:p>
      <w:r>
        <w:t>Le 1er janvier 2017 est entrée en vigueur la modification du 25 septembre 2015 de la LAA. Dans la mesure où l'accident est survenu avant cette date, le droit du recourant aux prestations d'assurance est soumis à l'ancien droit (cf. al. 1 des dispositions transitoires relatives à la modification du 25 septembre 2015 ; arrêt du Tribunal fédéral 8C_662/2016 du 23 mai 2017 consid. 2.2). Les dispositions</w:t>
      </w:r>
    </w:p>
    <w:p>
      <w:r>
        <w:t>A/3010/2024 - 12/17 - légales seront citées ci-après dans leur teneur en vigueur jusqu'au 31 décembre 2016.</w:t>
      </w:r>
    </w:p>
    <w:p>
      <w:r>
        <w:rPr>
          <w:b/>
        </w:rPr>
        <w:t>E. 3.2</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8C_481/2019 du 7 mai 2020 consid. 3.1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125 V 195 consid. 2). 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w:t>
      </w:r>
    </w:p>
    <w:p>
      <w:r>
        <w:t>A/3010/2024 - 13/17 - plus, il n'y a incapacité de gain que si celle-ci n'est pas objectivement surmontable (al. 2).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8C_642/2023 du 20 mars 2024 consid. 3.1.1 et la référence).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w:t>
      </w:r>
    </w:p>
    <w:p>
      <w:r>
        <w:t>A/3010/2024 - 14/17 -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w:t>
      </w:r>
    </w:p>
    <w:p>
      <w:r>
        <w:rPr>
          <w:b/>
        </w:rPr>
        <w:t>E. 4</w:t>
      </w:r>
    </w:p>
    <w:p>
      <w:r>
        <w:t>En l’espèce, le recourant conteste la décision sur opposition en tant que celle-ci se fonde sur l’appréciation médicale du 1er février 2024 du Dr F______, qui avait sous-estimé, selon lui, ses limitations fonctionnelles consécutives à l’accident. Il faut examiner la valeur probante du rapport du Dr F______.</w:t>
      </w:r>
    </w:p>
    <w:p>
      <w:r>
        <w:rPr>
          <w:b/>
        </w:rPr>
        <w:t>E. 4.1</w:t>
      </w:r>
    </w:p>
    <w:p>
      <w:r>
        <w:t>Celui-ci a retenu que le cas du recourant était stabilisé dans son appréciation du 1er février 2024. Il a prescrit un scanner pour vérifier la fusion ou non de l'arthrodèse, en précisant que même en cas de pseudarthrose, aucun traitement n’était susceptible d'améliorer l'état de santé du recourant et que cela ne changerait rien, notamment pas la stabilisation du cas. Le scanner effectué à la demande du Dr F______ le 7 février 2024 a mis en évidence un aspect de pseudarthrose essentiellement au secteur le plus caudal du montage chirurgical à hauteur de la sixième côte droite et de l’espace intercostal sus-jacent. Il s’agit là d’un fait nouveau puisque le Dr C______ avait indiqué, le 21 janvier 2022, qu’un scanner avait montré une bonne prise de l’arthrodèse scapulo-thoracique et que la composante de pseudarthrose était actuellement résolue. Sur le plan orthopédique, il n’avait dès lors, selon lui, pas de gestes supplémentaires envisagés.</w:t>
      </w:r>
    </w:p>
    <w:p>
      <w:r>
        <w:t>A/3010/2024 - 15/17 - Si le constat du Dr C______ du 21 janvier 2022 établissait la stabilisation du cas du recourant, cette conclusion est remise en cause par les résultats du nouveau scanner du 7 février 2024. Il n’apparaît pas exclu qu’une nouvelle cure de pseudarthrose se justifie. Il est contestable que le Dr F______ ait exclu toute incidence des résultats du scanner qu’il a lui-même ordonné, et donc estimé nécessaire, avant même de prendre connaissance des résultats du scanner, et sans le soumettre à l’appréciation du Dr C______.</w:t>
      </w:r>
    </w:p>
    <w:p>
      <w:r>
        <w:rPr>
          <w:b/>
        </w:rPr>
        <w:t>E. 4.2</w:t>
      </w:r>
    </w:p>
    <w:p>
      <w:r>
        <w:t>Par ailleurs, le Dr F______ a retenu que le diagnostic d’atteinte du nerf long thoracique était établi, sans discussion, alors qu’il ressort des pièces de la procédure que ce diagnostic était encore au stade des investigations, et qu’il n’avait pas pu être posé. En effet, le 5 juillet 2022, le Dr B______ a indiqué que lors d’une réunion de cas complexes avec les Drs I______ et C______, il avait été décidé de demander une évaluation du nerf long thoracique à droite de l’assuré par l’équipe de la chirurgie de la main. Si ce nerf long thoracique droite voire d’autres nerfs périphériques étaient impliqués, un traitement devrait être mis en place par le service de chirurgie orthopédique et traumatologie de l’appareil moteur des HUG. Le 6 janvier 2023, la Dre K______ a indiqué qu’en ce qui concernait la chirurgie de la main, elle n’avait pas de prise en charge à proposer à l’assuré. Elle proposait la réalisation par leur ergothérapeute d’une cartographie de la face postérieure de l’épaule de l’assuré et une réévaluation de son cas par l’équipe de la douleur chronique afin de voir si une nouvelle tentative par infiltration pourrait être effectuée. Elle ne se prononçait ainsi pas clairement sur ce diagnostic. Le 21 avril 2023, le Dr L______ a noté qu’après consensus avec les intervenants (les Drs I______ et C______), ils recherchaient encore une compression – souffrance – par lésion du nerf long thoracique, bien que l’allodynie dépassait ce territoire, relevant que l’allodynie datait d’avant la première opération, mais qu’elle avait été aggravée par la suite. Il ajoutait que la douleur thoracique n’était pas prouvée car ce nerf était difficilement explorable. Les pièces au dossier ne permettaient ainsi pas au Dr F______ de retenir le diagnostic d’atteinte du nerf long thoracique.</w:t>
      </w:r>
    </w:p>
    <w:p>
      <w:r>
        <w:rPr>
          <w:b/>
        </w:rPr>
        <w:t>E. 4.3</w:t>
      </w:r>
    </w:p>
    <w:p>
      <w:r>
        <w:t>Il faut encore constater que dans son rapport du 7 février 2024, le Dr F______ ne s’est pas prononcé sur la capacité de travail, se contentant de décrire les limitations fonctionnelles, alors que le gestionnaire du dossier lui avait demandé de se prononcer à ce sujet.</w:t>
      </w:r>
    </w:p>
    <w:p>
      <w:r>
        <w:rPr>
          <w:b/>
        </w:rPr>
        <w:t>E. 4.4</w:t>
      </w:r>
    </w:p>
    <w:p>
      <w:r>
        <w:t>En conclusion, le rapport du Dr F______ est suffisamment remis en cause pour qu’il se justifie de faire procéder à une instruction complémentaire par le biais d’une expertise indépendante.</w:t>
      </w:r>
    </w:p>
    <w:p>
      <w:r>
        <w:t>A/3010/2024 - 16/17 - Au vu de cette conclusion, il ne se justifie pas de traiter des autres griefs du recourant, en particulier la question du taux de l’atteinte à l’intégrité, qui devra être également soumise à l’expert.</w:t>
      </w:r>
    </w:p>
    <w:p>
      <w:r>
        <w:rPr>
          <w:b/>
        </w:rPr>
        <w:t>E. 5</w:t>
      </w:r>
    </w:p>
    <w:p>
      <w:r>
        <w:t>Le recours doit ainsi être partiellement admis, la décision querellée annulée et la cause renvoyée à l’intimée pour instruction complémentaire, au sens des considérants et nouvelle décision. Il ne sera pas alloué d’indemnité de procédure au recourant, qui n'est pas assisté d'un conseil et qui n’a pas fait valoir de frais engendrés par la procédure (art. 61 let. g LPGA). Pour le surplus, la procédure est gratuite (art. 61 let. fbis LPGA a contrario).</w:t>
      </w:r>
    </w:p>
    <w:p>
      <w:r>
        <w:t>A/3010/2024 - 17/17 -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