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ATAS/689/2021 vom 28. Juni 2021</w:t>
      </w:r>
    </w:p>
    <w:p>
      <w:r>
        <w:t>GE Cour de justice, 2021-06-28, FR</w:t>
      </w:r>
    </w:p>
    <w:p>
      <w:r>
        <w:rPr>
          <w:b/>
        </w:rPr>
        <w:t xml:space="preserve">Quelle: </w:t>
      </w:r>
      <w:r>
        <w:t>https://mcp.opencaselaw.ch/entscheid/ge_gerichte_ATAS_689_2021</w:t>
      </w:r>
    </w:p>
    <w:p>
      <w:r>
        <w:t>FR: GE_GERICHTE ATAS/689/2021 du 28 juin 2021</w:t>
      </w:r>
    </w:p>
    <w:p>
      <w:r>
        <w:t>IT: GE_GERICHTE ATAS/689/2021 del 28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question de l’aptitude au placement à 100% du recourant du 25 août au 23 septembre 2020, étant relevé que l’intimé a reconnu, en cours de procédure, une aptitude à 50% du recourant durant la période précitée.</w:t>
      </w:r>
    </w:p>
    <w:p>
      <w:r>
        <w:rPr>
          <w:b/>
        </w:rPr>
        <w:t>E. 4</w:t>
      </w:r>
    </w:p>
    <w:p>
      <w:r>
        <w:t>a.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w:t>
      </w:r>
    </w:p>
    <w:p>
      <w:r>
        <w:t>A/1308/2021 - 4/8 -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b. Si le chômeur se soustrait à ses devoirs d’assuré, il ne sera en principe pas d’emblée privé de prestations. Le droit de l’assuré à l’indemnité est d’abord suspendu (art. 30 al. 1 LACI et art. 44 s OACI) puis, en cas de réitération, l’assuré est déclaré inapte au placement (art. 8 al. 1 let. F et 15 LACI ; ATF 120 V 233 consid. 50 p. 251, 112 V 215 consid. 1b p. 218 ; Thomas NUSSBAUMER, Arbeitslosenversicherung, in : Soziale Sicherheit, SBVR vol. XIV, 3e éd. 2016, n. 323 p. 2363).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sanctionnées, l’inaptitude prend effet le premier jour qui suit le manquement qui entraîne la constatation de l’inaptitude au placement (arrêt du Tribunal fédéral 8C 65/2020 du 24 juin 2020).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w:t>
      </w:r>
    </w:p>
    <w:p>
      <w:r>
        <w:t>A/1308/2021 - 5/8 -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Par ailleurs, l’aptitude au placement doit être admise avec beaucoup de retenue lorsque, en raison de l’existence d’autres obligations ou de circonstances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p. 388 ; BORIS RUBIN op.cit., n. 26 ad art. 15 LACI). Dans cet arrêt (8C 65/2020 du 24 juin 2020), le Tribunal fédéral a considéré que l’aptitude au placement doit être niée pour un assuré qui avait refusé à deux reprises d’offrir ses services pour des activités lucratives, au motif que les horaires de travail ne lui convenaient pas pour des raisons d’ordre personnel (postes incompatibles avec la garde partagée de son fils). c. L’OFIAMT - aujourd’hui, le Secrétariat d’Etat à l’économie - a édicté une directive relative à l’inaptitude au placement des assurés ayant la garde d’enfants en bas âge, parue dans le bulletin AC 93/1, fiche 3. Cette directive, qui figure dans la compilation AC 98/1 - fiche 8, est conforme au droit fédéral (DTA 2006 n° 3 p. 64 consid. 4 et les références [arrêt du 20 juillet 2005, C 88/05]). Elle prévoit que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Selon cette directive,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Cette réglementation doit être appliquée d’une</w:t>
      </w:r>
    </w:p>
    <w:p>
      <w:r>
        <w:t>A/1308/2021 - 6/8 - manière rigoureusement identique aux pères et mères (cf. consid. 4 de l’arrêt du 19 mai 2006, C 44/05 ; arrêt du Tribunal fédéral 8C 769/2018 du 5 septembre 2019).</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le recourant a précisé, lors de l’audience du 21 juin 2020, que, devant s’occuper de son enfant durant les nuits, il n’était disponible, durant la période litigieuse, pour accepter un emploi ou suivre une mesure ordonnée par l’intimé, que dès midi. Le recourant estime qu’il présente néanmoins une aptitude au placement à 100% dès lors qu’il est prêt à travailler selon un horaire arrangé, soit dès midi jusqu’en fin de soirée. Préalablement, il y a lieu de constater que le recourant n’est pas empêché de travailler pour un motif lié à la garde de son jeune enfant durant les horaires qu’il a indiqués, son épouse étant disponible à ce moment-là. En revanche et au vu de la jurisprudence précitée, le recourant présente une aptitude au placement réduite dès lors qu’il a indiqué que, durant la période litigieuse, il n’était prêt à accepter un emploi que durant un horaire limité et décalé par rapport à un horaire normal de travail, soit à partir de midi jusqu’en soirée. Or, cette exigence restreint le champ possible des emplois. Même si le recourant a été engagé comme employé de nettoyage, sur des chantiers dès le 24 septembre 2020 selon un horaire qui lui convenait, soit de midi à 19h-20h (PV d’audience du 21 juin 2021), cet emploi était temporaire, sur appel et l’horaire a été accepté par le chef du recourant, à la demande de celui-ci, ce qui démontre qu’il ne s’agit pas d’un horaire usuel, même dans le domaine concerné. Il convient ainsi de constater que les conditions posées par le recourant ont comme conséquence une trop grande limitation dans le choix des postes de travail, de sorte qu’une aptitude au placement à 100% ne peut lui être reconnue.</w:t>
      </w:r>
    </w:p>
    <w:p>
      <w:r>
        <w:rPr>
          <w:b/>
        </w:rPr>
        <w:t>E. 7</w:t>
      </w:r>
    </w:p>
    <w:p>
      <w:r>
        <w:t>Partant, le recours sera partiellement admis et la décision litigieuse réformée dans le sens que le recourant est reconnu apte au placement à 50% du 25 août au 23 septembre 2020.</w:t>
      </w:r>
    </w:p>
    <w:p>
      <w:r>
        <w:rPr>
          <w:b/>
        </w:rPr>
        <w:t>E. 8</w:t>
      </w:r>
    </w:p>
    <w:p>
      <w:r>
        <w:t>Le recourant, qui obtient partiellement gain de cause, a droit à une indemnité à titre de participation à ses frais et dépens que la chambre de céans fixera en l’espèce à CHF 1’500.- (art. 61 let. G LPGA et art. 6 du règlement sur les frais, émoluments et indemnités en procédure administrative du 30 juillet 1986 [RFPA – RS E 5 10.03]).</w:t>
      </w:r>
    </w:p>
    <w:p>
      <w:r>
        <w:t>A/1308/2021 - 7/8 -</w:t>
      </w:r>
    </w:p>
    <w:p>
      <w:r>
        <w:rPr>
          <w:b/>
        </w:rPr>
        <w:t>E. 9</w:t>
      </w:r>
    </w:p>
    <w:p>
      <w:r>
        <w:t>Pour le surplus, la procédure est gratuite (art. 89H al. 1 LPA).</w:t>
      </w:r>
    </w:p>
    <w:p>
      <w:r>
        <w:t>A/1308/2021 - 8/8 -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