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ATAS/689/2016 vom 29. August 2016</w:t>
      </w:r>
    </w:p>
    <w:p>
      <w:r>
        <w:t>GE Cour de justice, 2016-08-29, FR</w:t>
      </w:r>
    </w:p>
    <w:p>
      <w:r>
        <w:rPr>
          <w:b/>
        </w:rPr>
        <w:t xml:space="preserve">Quelle: </w:t>
      </w:r>
      <w:r>
        <w:t>https://mcp.opencaselaw.ch/entscheid/ge_gerichte_ATAS_689_2016</w:t>
      </w:r>
    </w:p>
    <w:p>
      <w:r>
        <w:t>FR: GE_GERICHTE ATAS/689/2016 du 29 août 2016</w:t>
      </w:r>
    </w:p>
    <w:p>
      <w:r>
        <w:t>IT: GE_GERICHTE ATAS/689/2016 del 29 agosto 2016</w:t>
      </w:r>
    </w:p>
    <w:p>
      <w:pPr>
        <w:pStyle w:val="Heading2"/>
      </w:pPr>
      <w:r>
        <w:t>Erwägungen</w:t>
      </w:r>
    </w:p>
    <w:p>
      <w:r>
        <w:rPr>
          <w:b/>
        </w:rPr>
        <w:t>E. 1</w:t>
      </w:r>
    </w:p>
    <w:p>
      <w:r>
        <w:t>La compétence de la chambre de céans et la recevabilité du recours ont déjà été examinées dans l'ordonnance d'expertise du 9 juillet 2014, de sorte qu'il n'y a pas lieu d'y revenir ici (ATAS/853/2014).</w:t>
      </w:r>
    </w:p>
    <w:p>
      <w:r>
        <w:rPr>
          <w:b/>
        </w:rPr>
        <w:t>E. 2</w:t>
      </w:r>
    </w:p>
    <w:p>
      <w:r>
        <w:t>Le litige porte sur le lien de causalité entre l'accident du 28 janvier 2011 et les troubles présentés par la recourante au coude gauche, étant précisé que la décision querellée n’est pas contestée en tant qu’elle concerne les atteintes à l’épaule gauche de la recourante.</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A/1683/2013 - 23/28 -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U.351/04 du 14 février 2006 consid. 3.2).</w:t>
      </w:r>
    </w:p>
    <w:p>
      <w:r>
        <w:rPr>
          <w:b/>
        </w:rPr>
        <w:t>E. 4</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A/1683/2013 - 24/28 - c. Sans remettre en cause le principe de la libre appréciation des preuves, le Tribunal fédéral des assurances a posé des lignes directrices en ce qui concerne la manière d'apprécier certains types d'expertises ou de rapports médicaux (ATF 125 V 351 consid. 3b).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la chambre de céans a mandaté le Dr L______ qui a rendu son rapport le 23 mars 2016. Ce médecin a diagnostiqué au coude gauche de la recourante, un status après neurolyse du nerf interosseux postérieur et cure d'épicondylite par dénervation et ténotomie du tendon conjoint à gauche le 16 août 2012, une discrète épicondylalgie résiduelle et un status après contusion à la face externe du coude gauche. L'expert a notamment estimé que l'accident du 28 janvier 2011 avait causé de manière probable une épicondylite tendineuse et une lésion du nerf interosseux postérieur au coude gauche. La chambre de céans constate que l’expertise du Dr L______ repose sur un examen de la recourante et sur l’étude de son dossier médical. L’anamnèse est détaillée et les plaintes de la recourante ont été prises en considération. L’expertise est en outre</w:t>
      </w:r>
    </w:p>
    <w:p>
      <w:r>
        <w:t>A/1683/2013 - 25/28 - très bien motivée puisqu’elle explique pourquoi les diagnostics précités sont en lien de causalité avec l’accident. Enfin, il a dûment expliqué et motivé son point de vue eu égard notamment aux avis des Drs F______ et E______. Ses conclusions sont ainsi dûment motivées. Il y a donc lieu de reconnaître une valeur probante entière à son rapport d’expertise. Il convient encore d’examiner si d’autres spécialistes ont émis des opinions contraires aptes à mettre en doute les conclusions de l’expert. L'intimée fait valoir que l'appréciation du Dr F______, concluant à une atteinte d’origine chronique et non traumatique, doit être prise en compte. Il y a lieu de rappeler que s’agissant des conclusions émises par le Dr F______, la chambre de céans a jugé, dans son ordonnance d’expertise du 9 juillet 2014, qu’elles ne pouvaient se voir reconnaître une pleine valeur probante (ATAS/853/2014). Au demeurant, le Dr L______ a dûment exposé les raisons pour lesquelles il y avait lieu de s’écarter de l’avis du Dr F______. Il a notamment relevé que le Dr F______ estimait que l’accident n’avait causé qu’une contusion au coude. A cet égard, l’expert judiciaire a indiqué que le rapport opératoire du Dr E______ mentionnait la présence de tissus inflammatoires dans la zone opérée, ce qui était probablement une séquelle à long terme du choc subi à cet endroit (rapport d'expertise pp. 10 et 11). Le Dr L______ a également mentionné que le Dr F______ était d’avis qu’un état pathologique bilatéral du nerf radial à l’échographie était un argument massif contre une origine traumatique. A ce propos, l'expert judiciaire a souligné que le diagnostic échographique des lésions du système nerveux périphérique était une technique encore récente, pour laquelle des données fiables permettant de différencier entre une situation normale et une situation pathologique faisaient encore défaut. La présence d’un épaississement du nerf interosseux postérieur à l’échographie ne pouvait en aucun cas exclure une compression dans une zone adjacente, ni une origine traumatique (rapport d'expertise p. 11). Enfin, alors que le Dr F______ retenait le diagnostic d’enthésiopathie calcifiante bilatérale des tendons, le Dr L______ a relevé que le dossier médical ne permettait pas de retrouver de calcification dans le coude (rapport d’expertise p. 11). Dans son avis du 19 mai 2016, le Dr F______ conclut à une atteinte d’origine chronique au motif en particulier, que la survenue d’un accident n’est pas nécessaire pour créer une compression du nerf et que l’on pouvait exclure une causalité directe de l’accident. La chambre de céans constate que le Dr L______ admet également que la compression du nerf interosseux postérieur puisse exister en l’absence d’un traumatisme. Cette pathologie était cependant assez rare et rien ne permettait dans le cas de l’expertisée, d’affirmer qu’elle se serait manifestée sans l’accident. L'expert judiciaire a exposé qu’en l’occurrence, le choc de la barre de fer sur la face latérale du coude avait conduit non seulement à une contusion tendineuse</w:t>
      </w:r>
    </w:p>
    <w:p>
      <w:r>
        <w:t>A/1683/2013 - 26/28 - responsable de l’épicondylalgie « tendineuse », mais également à une modification tissulaire de la musculature située plus distalement, entre autre le muscle supinateur. Ceci avait probablement conduit à une décompensation d’une zone anatomiquement à risques, soit à la neuropathie du nerf interosseux postérieur (rapport d’expertise pp. 7 et 8). Par ailleurs, le raisonnement du Dr F______ sur l'absence d'une atteinte traumatique du fait de l'exclusion d'une causalité directe de l'accident, repose sur une notion erronée de la causalité naturelle. On rappellera en effet que l'admission d'un rapport de causalité naturelle entre une atteinte à la santé et un accident assuré n'implique pas, en effet, que cet accident soit une cause prépondérante ou exclusive de l'atteinte à la santé, ni qu'il en soit une cause directe; il suffit que l'accident ait contribué, avec d'autres facteurs, à la survenance de l'atteinte à la santé (arrêt du Tribunal fédéral 8C_433/2008 du 11 mars 2009 consid. 5.1 et les références citées). Ainsi, les conclusions du Dr F______ ne sauraient écarter l'appréciation du Dr L______. Enfin, comme constaté dans l'ordonnance d'expertise du 6 novembre 2015, en l'absence d'explications exemptes de contradictions et de conclusions motivées, le rapport du Dr K______ ne pouvait se voir accorder valeur probante (ATAS/841/2015). Il apparaît ainsi qu’il n’existe aucune circonstance bien établie, susceptible d’ébranler sérieusement la crédibilité des conclusions du Dr L______. Compte tenu de ce qui précède, il y a lieu de retenir que la recourante a présenté une épicondylite tendineuse et une lésion du nerf interosseux postérieur au coude gauche en lien de causalité naturelle avec l'accident du 28 janvier 2011. Partant, c'est à tort que l'intimée a nié le lien de causalité entre ces atteintes au coude gauche de la recourante et l’accident assuré.</w:t>
      </w:r>
    </w:p>
    <w:p>
      <w:r>
        <w:rPr>
          <w:b/>
        </w:rPr>
        <w:t>E. 7</w:t>
      </w:r>
    </w:p>
    <w:p>
      <w:r>
        <w:t>Au vu de ce qui précède, le recours sera admis et la décision de l'intimée du 24 avril 2013 sera annulée en tant qu’elle nie le droit aux prestations pour les atteintes au coude gauche de la recourante et confirmée pour le surplus. Il sera dit que l’épicondylite tendineuse et la lésion du nerf interosseux postérieur au coude gauche de la recourante sont en lien de causalité avec l’accident du 28 janvier 2011 et la cause renvoyée à l'intimée pour détermination des prestations légales dues et nouvelle décision.</w:t>
      </w:r>
    </w:p>
    <w:p>
      <w:r>
        <w:rPr>
          <w:b/>
        </w:rPr>
        <w:t>E. 8</w:t>
      </w:r>
    </w:p>
    <w:p>
      <w:r>
        <w:t>La recourante obtenant gain de cause, une indemnité de CHF 4'500.- lui sera accordée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rPr>
          <w:b/>
        </w:rPr>
        <w:t>E. 9</w:t>
      </w:r>
    </w:p>
    <w:p>
      <w:r>
        <w:t>Pour le surplus, la procédure est gratuite (art. 61 let. a LPGA).</w:t>
      </w:r>
    </w:p>
    <w:p>
      <w:r>
        <w:t>A/1683/2013 - 27/28 -</w:t>
      </w:r>
    </w:p>
    <w:p>
      <w:r>
        <w:rPr>
          <w:b/>
        </w:rPr>
        <w:t>E. 10</w:t>
      </w:r>
    </w:p>
    <w:p>
      <w:r>
        <w:t>a. Il convient encore de statuer sur le sort des frais de l'expertise judiciaire mise en œuvre par la chambre de céans, à hauteur de CHF 5'600.- pour le rapport du Dr L______. b. Selon la jurisprudence, les frais découlant de la mise en œuvre d’une expertise judiciaire mono ou pluridisciplinaire peuvent, le cas échéant, être mis à la charge de l’assureur (ATF 137 V 210 consid. 4.1et 4.4.1.4). Encore faut-il que l'autorité administrative ait procédé à une instruction présentant des lacunes ou des insuffisances caractérisées et que l'expertise judiciaire serve à pallier les manquements commis dans la phase d'instruction administrative. Il doit ainsi exister un lien entre les défauts de l'instruction administrative et la nécessité de mettre en œuvre une expertise judiciaire (ATF 137 V 210 consid. 4.4.2 p. 265).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125 V 351 consid. 3a). c. En l’occurrence, dans la mesure où le Dr F______ n'a pas bénéficié de l'intégralité du dossier médical de la recourante et que des éléments au dossier, en possession de l'intimée, étaient propres à mettre en doute les explications fournies par cet expert (tel que le rapport du Dr H______ du 28 mars 2013), l'intimée ne pouvait se fonder sur les conclusions de l’expert mandaté, sans procéder à une instruction complémentaire avant de rendre sa décision litigieuse. La chambre de céans n’ayant pas eu d’autre alternative que de mettre en œuvre une expertise judiciaire afin de pouvoir statuer sur le présent litige, il se justifie de mettre les frais de l’expertise judiciaire réalisée par le Dr L______ à charge de l’intimée.</w:t>
      </w:r>
    </w:p>
    <w:p>
      <w:r>
        <w:t>A/1683/2013 - 28/28 -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