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ATAS/689/2011 vom 4. Juli 2011</w:t>
      </w:r>
    </w:p>
    <w:p>
      <w:r>
        <w:t>GE Cour de justice, 2011-07-04, FR</w:t>
      </w:r>
    </w:p>
    <w:p>
      <w:r>
        <w:rPr>
          <w:b/>
        </w:rPr>
        <w:t xml:space="preserve">Quelle: </w:t>
      </w:r>
      <w:r>
        <w:t>https://mcp.opencaselaw.ch/entscheid/ge_gerichte_ATAS_689_2011</w:t>
      </w:r>
    </w:p>
    <w:p>
      <w:r>
        <w:t>FR: GE_GERICHTE ATAS/689/2011 du 4 juillet 2011</w:t>
      </w:r>
    </w:p>
    <w:p>
      <w:r>
        <w:t>IT: GE_GERICHTE ATAS/689/2011 del 4 luglio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15 septembre 2010,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les forme et délai prévus par la loi, le recours est recevable (art. 56 et 60 LPGA).</w:t>
      </w:r>
    </w:p>
    <w:p>
      <w:r>
        <w:rPr>
          <w:b/>
        </w:rPr>
        <w:t>E. 4</w:t>
      </w:r>
    </w:p>
    <w:p>
      <w:r>
        <w:t>Le litige consiste à déterminer si l'intimé était fondé à remplacer, par voie de révision, la rente entière par une demi-rente.</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w:t>
      </w:r>
    </w:p>
    <w:p>
      <w:r>
        <w:t>A/3540/2010 - 11/17 -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cependant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Schaffauser/Schlauri [Hrsg], Die Revision von Dauerleistungen in der Sozialversicherung, Saint-Gall, 1999, p. 15). b) Le juge peut, cas échéant, confirmer une décision de révision rendue à tort pour le motif substitué que la décision initiale d'octroi de rente était sans nul doute erronée et que sa rectification revêt une importance considérable (ATF 125 V 368 consid. 2 p. 369).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en effet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w:t>
      </w:r>
    </w:p>
    <w:p>
      <w:r>
        <w:t>A/3540/2010 - 12/17 -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 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w:t>
      </w:r>
    </w:p>
    <w:p>
      <w:r>
        <w:t>A/3540/2010 - 13/17 -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G. du 24 octobre 2003, I 35/03).</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A/3540/2010 - 14/17 -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9</w:t>
      </w:r>
    </w:p>
    <w:p>
      <w:r>
        <w:t>En l’occurrence, l’intimé justifie la réduction de la rente allouée au recourant par le fait que son état de santé se serait amélioré au point qu’il présente une capacité de travail totale dans une activité adaptée, avec une baisse de rendement de 30%, ce que conteste le recourant. La Cour de céans constate que la décision de révision du 25 septembre 2007, qui a prolongé l’octroi de la rente entière accordée par décision du 7 février 2007, a été rendue après instruction auprès des médecins. Par conséquent, c’est la décision du 25 septembre 2007 qui constitue le point de départ temporel pour l’examen de la modification de l’état de santé du recourant. Seront dès lors comparés les faits tels qu’ils se présentaient au 25 septembre 2007 avec ceux qui prévalaient au 15 septembre 2010, date de la décision litigieuse. A la date du 25 septembre 2007, le recourant présentait des atteintes à l’épaule droite, l’empêchant d’exercer toute activité (rapport du SMR du 3 juillet 2007). Dans le cadre de la procédure de révision initiée en septembre 2008, les experts de la CRR, mandatés par l’intimé, ont diagnostiqué, avec répercussion sur la capacité de travail, un sévère conflit sous-acromial de l’épaule droite, des cervicalgies sur discopathies étagées et un trouble dépressif récurrent, épisode actuel moyen (F33.1). Ils ont estimé qu’en raison des affections présentées par le recourant, sa capacité de travail est de 70% dans une activité adaptée (rapport d’expertise du 6 avril 2009). A la suite d’un stage COPAI effectué du 9 novembre au 6 décembre 2009, il a été constaté que les capacités résiduelles du recourant sont difficilement exploitables avec un emploi dans le circuit économique ordinaire (rapport du 13 janvier 2010). S’agissant de la capacité de travail du recourant, la Cour de céans constate que l’intimé a fixé la capacité résiduelle de travail du recourant, soit 70% dans une</w:t>
      </w:r>
    </w:p>
    <w:p>
      <w:r>
        <w:t>A/3540/2010 - 15/17 - activité adaptée, en se fondant uniquement sur les conclusions du rapport d’expertise pluridisciplinaire établi le 6 avril 2009 par les médecins de la CRR, à l'exclusion de l'appréciation professionnelle effectuée le 13 janvier 2010 par le COPAI. Pourtant, les conclusions du COPAI - selon lesquelles les atteintes présentées par le recourant ne lui permettent pas d’effectuer des activités manuelles à long terme, de manière productive et exploitable - sont corroborées par celles de son médecin-conseil, le Dr P_______, pour qui la situation n’est pas compatible avec l’exercice d’une profession, même à temps partiel (rapport du 8 janvier 2010), par celles du Prof. E_________ (rapport du 15 décembre 2008) ainsi que par celles du Dr A_________ (rapport du 2 octobre 2008). S’il ressort certes des pièces versées au dossier que dans le cadre de l’évaluation professionnelle effectuée auprès de la CRR, le recourant a opposé une limite sur la durée par un comportement dolent et l’allégation de symptômes douloureux (rapport du 23 mars 2009), il n’en demeure pas moins que les experts médicaux de la CRR ont constaté que le recourant souffre d’un sévère conflit sous-acromial de l’épaule droite et que le syndrome algique paraît réel chez le recourant, qui est de surcroît collaborant (rapport d’expertise du 6 avril 2009, page 12). Se pose dès lors la question de savoir si les plaintes et le manque d'engagement reprochés par les experts professionnels de la CRR, ne doivent pas plutôt être mis sur le compte des atteintes à la santé que présente le recourant, ce d’autant plus que lors de son stage aux EPI, qui a duré vingt jour, le recourant n’a été absent qu’une fois. Quoi qu’il en soit, il y a lieu de constater que les conclusions du COPAI, loin de compléter les données médicales fournies par les experts médicaux de la CRR quant à la capacité de travail exigible de la part du recourant, divergent totalement de celles-ci ainsi que des appréciations émises par les spécialistes des ateliers professionnels de la CRR, de sorte qu’il n’est pas possible de statuer en l’état du dossier. Qui plus est, il résulte du rapport du Dr P_______ daté du 8 janvier 2010 que la dépression - diagnostiquée en tant qu’épisode moyen en avril 2009 par la Dresse N_______ - est devenue plus active, le recourant présentant des idées suicidaires envahissantes. Si le Dr P_______ n’est certes pas spécialiste en psychiatrie, il n’en demeure pas moins que l’on ne saurait retenir, sans autre instruction et comme l’a fait le Dr H_________ du SMR dans son avis du 8 juillet 2010, que l’aggravation possible de l’état dépressif serait vraisemblablement réactionnelle aux conclusions émises par les experts de la CRR. Ce d’autant plus que le Dr I_________ a noté que le recourant avait déjà présenté des idées suicidaires il y a quelques années (rapport du 4 février 2008), élément important qui ne ressort cependant pas du rapport établi par la Dresse N_______. Enfin, alors que le recourant a été adressé en février 2008 au Dr R______ pour une évaluation des cervico-brachialgies (rapport du Dr I_________ du 4 février 2008), l’intimé n’a pas demandé à connaître ses conclusions.</w:t>
      </w:r>
    </w:p>
    <w:p>
      <w:r>
        <w:t>A/3540/2010 - 16/17 - En pareilles circonstances, vu l’absence de renseignements probants récoltés par l’intimé, la Cour de céans ne peut pas se prononcer sur la capacité de travail résiduelle du recourant au 15 septembre 2010, ni, partant, effectuer une comparaison avec la situation prévalant au moment du maintien de la rente (décision du 25 septembre 2007). Il convient dès lors de renvoyer la cause à l'intimé afin qu'il ordonne un complément d'instruction sous la forme d'une nouvelle expertise médicale orthopédique et psychiatrique. En cas de nécessité, un nouveau stage d’observation professionnelle visant à clarifier le rendement exigible et les activités qui demeurent à la portée de l’intéressé compte tenu de ses limitations fonctionnelles posées médicalement, sera également organisé. Une fois ces mesures d’instruction effectuées, il appartiendra à l’intimé d’évaluer le taux d’invalidité et de rendre une décision. Il est par ailleurs précisé que, dans l’intervalle, le recourant a droit au maintien de sa rente entière.</w:t>
      </w:r>
    </w:p>
    <w:p>
      <w:r>
        <w:rPr>
          <w:b/>
        </w:rPr>
        <w:t>E. 10</w:t>
      </w:r>
    </w:p>
    <w:p>
      <w:r>
        <w:t>Vu ce qui précède, le recours sera admis, la décision querellée annulée et le dossier renvoyé à l’autorité administrative afin qu’elle procède conformément aux considérants. Eu égard à l’issue du litige, l’intimé versera au recourant la somme de 1'500 fr. à titre de participation à ses dépens et s’acquittera d’un montant de 500 fr. correspondant à l’émolument de justice. * * *</w:t>
      </w:r>
    </w:p>
    <w:p>
      <w:r>
        <w:t>A/3540/2010 - 17/17 -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