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ATAS/688/2021 vom 28. Juni 2021</w:t>
      </w:r>
    </w:p>
    <w:p>
      <w:r>
        <w:t>GE Cour de justice, 2021-06-28, FR</w:t>
      </w:r>
    </w:p>
    <w:p>
      <w:r>
        <w:rPr>
          <w:b/>
        </w:rPr>
        <w:t xml:space="preserve">Quelle: </w:t>
      </w:r>
      <w:r>
        <w:t>https://mcp.opencaselaw.ch/entscheid/ge_gerichte_ATAS_688_2021</w:t>
      </w:r>
    </w:p>
    <w:p>
      <w:r>
        <w:t>FR: GE_GERICHTE ATAS/688/2021 du 28 juin 2021</w:t>
      </w:r>
    </w:p>
    <w:p>
      <w:r>
        <w:t>IT: GE_GERICHTE ATAS/688/2021 del 28 giugno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Interjeté dans les formes et le délai prévus par la loi, le recours est recevable (art. 56 à 61 LPGA), sous réserve de ce qui suit.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w:t>
      </w:r>
    </w:p>
    <w:p>
      <w:r>
        <w:t>A/2736/2020 - 15/19 - c. En l’absence de décision portant sur la question d’un éventuel remboursement de primes LAA excédentaires prélevées sur les revenus du recourant, les conclusions subsidiaires de ce dernier, tendant au remboursement du « trop-perçu de cotisations » sont irrecevables.</w:t>
      </w:r>
    </w:p>
    <w:p>
      <w:r>
        <w:rPr>
          <w:b/>
        </w:rPr>
        <w:t>E. 3</w:t>
      </w:r>
    </w:p>
    <w:p>
      <w:r>
        <w:t>Le recourant n’ayant pas contesté la décision du 12 mars 2020 le condamnant à restituer à l’intimée CHF 134’310.30 au titre de la part excédentaire des indemnités journalières perçues entre le 8 janvier 2014 et le 10 janvier 2016, le litige porte sur le point de savoir si l’intimée est fondée à refuser au recourant la remise de l’obligation de restituer la somme en question.</w:t>
      </w:r>
    </w:p>
    <w:p>
      <w:r>
        <w:rPr>
          <w:b/>
        </w:rPr>
        <w:t>E. 4</w:t>
      </w:r>
    </w:p>
    <w:p>
      <w:r>
        <w:t>a. Selon l’art. 25 al. 1 LPGA, applicable par renvoi de l’art. 1 al. 1 LAA,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DTA 2001 p. 160, arrêt du Tribunal fédéral C 223/00, du 5 février 2011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b. Selon une jurisprudence constante du Tribunal fédéral des assurances relative à l’art. 47 al. 1 LAVS (en vigueur jusqu’au 31 décembre 2002; DTA 1998 n. 14 p. 70, consid. 4a), applicable par analogie notamment en matière d’assurance- accidents (arrêt du Tribunal fédéral 8C_30/2008 du 5 septembre 2008 consid. 3.2),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97 consid. 2c, ATF 110 V 176 consid. 3c, DTA 1998 n° 14 p. 72 consid. 4a). Comme dans d’autres disciplines juridiques, la mesure de la diligence requise se mesure selon des critères objectifs, sans toutefois faire abstraction de ce qui est possible et exigible de la part de la personne concernée selon les particularités qui lui sont propres (capacité de discernement, état de santé, niveau d’instruction, etc. ; arrêt</w:t>
      </w:r>
    </w:p>
    <w:p>
      <w:r>
        <w:t>A/2736/2020 - 16/19 - du Tribunal fédéral 9C_14/2007 du 2 mai 2007 consid. 4.1 et l’arrêt cité). Il y a ainsi négligence grave lorsque l’intéressé ne se conforme pas à ce qui peut être raisonnablement exigé d’une personne capable de discernement, se trouvant dans une situation identique et dans les mêmes circonstances (ATF 110 V 176 consid. 3d ; arrêt du Tribunal fédéral 9C_41/2011 du 16 août 2011 consid. 5.2). Il faut en particulier examiner si, en faisant preuve de l’attention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l’assureur (arrêt du Tribunal fédéral 9C_498/2012 du 7 mars 2013 consid. 4.2). En revanche, l’intéressé peut invoquer sa bonne foi lorsque l’acte ou l’omission fautifs ne constituent qu’une violation légère de l’obligation d’annoncer ou de renseigner (ATF 112 V 97 consid. 2c, ATF 110 V 176 consid. 3c, arrêt du Tribunal fédéral 8C_403/2008 du 23 janvier 2009 consid. 2.2). c. Dans un arrêt du 13 octobre 2020, le Tribunal fédéral a considéré que pour apprécier le comportement d’un assuré, assisté d’un avocat, sous l’angle de la bonne foi au sens de l’art. 25 al. 1 LPGA, les actes et omissions de ce mandataire sont imputables à son client (ATF 143 I 284 consid. 1.3 et les arrêts cités). Et lorsque l’assuré ou le mandataire s’adjoint les services d’un auxiliaire, il répond du comportement de celui-ci comme de ses propres actes (cf. arrêt du Tribunal fédéral 9C_43/2020 du 13 octobre 2020 consid. 5.3.2 et les arrêts cités).</w:t>
      </w:r>
    </w:p>
    <w:p>
      <w:r>
        <w:rPr>
          <w:b/>
        </w:rPr>
        <w:t>E. 5</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A/2736/2020 - 17/19 -</w:t>
      </w:r>
    </w:p>
    <w:p>
      <w:r>
        <w:rPr>
          <w:b/>
        </w:rPr>
        <w:t>E. 6</w:t>
      </w:r>
    </w:p>
    <w:p>
      <w:r>
        <w:t>a. En l’espèce, le recourant proteste de sa bonne foi en faisant valoir, dans un premier moyen, qu’on ne saurait lui opposer les éventuels manquements de B______ Sàrl dès lors que son emploi de sertisseur, dès le 1er avril 2007, ne lui permettait pas de savoir quels étaient les renseignements que B______ Sàrl avait ou non transmis à l’intimée, d’autant qu’il « déléguait en principe une grande partie de l’activité administrative et comptable à [sa] Fiduciaire puisqu’il était lui-même accidenté au bras et peinait à remplir ce genre d’obligations » (réplique p. 3). Il ajoute qu’il n’avait aucune raison de croire que sa Fiduciaire ait eu l’intention de tromper l’intimée en indiquant le montant du salaire de base contractuel – en lieu et place du salaire effectivement versé –, la mention de la rémunération contractuelle étant précisément requise dans le formulaire de déclaration de sinistre. Dans un second moyen, le recourant soutient qu’il se croyait lié à l’intimée par une assurance de somme conclue sur la base d’un salaire annuel de CHF 125’000.- et que cet accord lui garantissait des indemnités journalières calculées en toutes circonstances selon ce montant, la seule contrepartie étant de payer des primes calculées sur la base de la somme assurée. b. La chambre de céans considère que même sans connaissance particulière du droit des assurances sociales, les personnes qui ont déjà connu un accident entraînant un arrêt de travail, n’ignorent pas que les indemnités journalières LAA sont calculées d’après leur gain assuré, soit en fonction du dernier salaire avant l’accident (cf. art. 15 LAA) et que même sans connaître précisément les règles déterminant le montant de ces prestations (art. 17 LAA, art. 22ss OLAA), l’expérience vécue leur enseigne qu’une incapacité totale de travail se traduit par une perte de gain que les seules indemnités journalières LAA ne compensent qu’en partie, notamment lorsque le dernier salaire avant l’accident est supérieur au montant maximum du gain assuré (art. 22 al. 1 OLAA). Or, force est de relever qu’en l’espèce, le recourant s’était déjà renseigné sur le mode de calcul des indemnités journalières par le passé : à la suite d’un premier accident, survenu le 12 juin 2007, il avait fait part de ses doutes à l’intimée quant au montant de l’indemnité journalière communiquée mais n’avait pas contesté les explications qu’il avait obtenues en réponse le 8 octobre 2008. En ce qui concerne la période du</w:t>
      </w:r>
    </w:p>
    <w:p>
      <w:r>
        <w:rPr>
          <w:b/>
        </w:rPr>
        <w:t>E. 8</w:t>
      </w:r>
    </w:p>
    <w:p>
      <w:r>
        <w:t>Mal fondé, le recours doit être rejeté. La procédure est gratuite (art. 61 let. a LPGA).</w:t>
      </w:r>
    </w:p>
    <w:p>
      <w:r>
        <w:t>*****</w:t>
      </w:r>
    </w:p>
    <w:p>
      <w:r>
        <w:t>A/2736/2020 - 19/19 -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