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ATAS/688/2016 vom 29. August 2016</w:t>
      </w:r>
    </w:p>
    <w:p>
      <w:r>
        <w:t>GE Cour de justice, 2016-08-29, FR</w:t>
      </w:r>
    </w:p>
    <w:p>
      <w:r>
        <w:rPr>
          <w:b/>
        </w:rPr>
        <w:t xml:space="preserve">Quelle: </w:t>
      </w:r>
      <w:r>
        <w:t>https://mcp.opencaselaw.ch/entscheid/ge_gerichte_ATAS_688_2016</w:t>
      </w:r>
    </w:p>
    <w:p>
      <w:r>
        <w:t>FR: GE_GERICHTE ATAS/688/2016 du 29 août 2016</w:t>
      </w:r>
    </w:p>
    <w:p>
      <w:r>
        <w:t>IT: GE_GERICHTE ATAS/688/2016 del 29 agosto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w:t>
      </w:r>
    </w:p>
    <w:p>
      <w:r>
        <w:t>A/4545/2015 - 7/13 - correspondantes avant l'entrée en vigueur de la LPGA; il n'en découle aucune modification du point de vue de leur contenu, de sorte que la jurisprudence développée à leur propos peut être reprise et appliquée (ATF 130 V 343 consid. 3). b.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3</w:t>
      </w:r>
    </w:p>
    <w:p>
      <w:r>
        <w:t>Le délai de recours est de 30 jours (art. 60 al. 1 LPGA). Interjeté dans les forme et délai prévus par la loi, le recours du 14 décembre 2015, dûment traduit et complété le 22 décembre 2015, contre la décision de l'intimé du 16 novembre 2015, est recevable, en vertu des art. 56 ss LPGA.</w:t>
      </w:r>
    </w:p>
    <w:p>
      <w:r>
        <w:rPr>
          <w:b/>
        </w:rPr>
        <w:t>E. 4</w:t>
      </w:r>
    </w:p>
    <w:p>
      <w:r>
        <w:t>L'objet du litige – circonscrit par la décision litigieuse – porte uniquement sur la question de savoir si c'est à juste titre que l'intimé a refusé d'entrer en matière sur la nouvelle demande déposée par le recourant le 27 août 2015.</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A/4545/2015 - 8/13 -</w:t>
      </w:r>
    </w:p>
    <w:p>
      <w:r>
        <w:rPr>
          <w:b/>
        </w:rPr>
        <w:t>E. 6</w:t>
      </w:r>
    </w:p>
    <w:p>
      <w:r>
        <w:t>a.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Ainsi, en cas de nouvelle demande de prestations ou de procédure de révision, le changement de circonstances ne peut être qualifié d’important que s’il influence le degré d’invalidité (ATF 133 V 108 consid. 5 ; arrêt du Tribunal fédéral 9C_809/2009 du 15 mars 2010 consid. 3).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Ces principes, développés par la jurisprudence en relation avec la nouvelle demande de prestations (art. 87 al. 3 RAI), sont applicables par analogie à la demande de révision (130 V 71 consid. 3 ; ATF 109 V 262 consid. 3).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w:t>
      </w:r>
    </w:p>
    <w:p>
      <w:r>
        <w:t>A/4545/2015 - 9/13 - c.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no 33). d. L’examen du juge se limite, ainsi, au point de savoir si les pièces déposées en procédure administrative justifient ou non la reprise de l'instruction du dossier (9C_789/2012 du 27 juillet 2013 consid. 4.1).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reposant sur un examen matériel du droit à la rente avec une constatation des faits pertinents, une appréciation des preuves et une comparaison des revenus conformes au droit et les circonstances régnant à l'époque de la décision litigieuse (ATF 130 V 64 consid. 2, 109 V 262 consid. 4a et 133 V 108 consid. 5.4).</w:t>
      </w:r>
    </w:p>
    <w:p>
      <w:r>
        <w:rPr>
          <w:b/>
        </w:rPr>
        <w:t>E. 7</w:t>
      </w:r>
    </w:p>
    <w:p>
      <w:r>
        <w:t>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w:t>
      </w:r>
    </w:p>
    <w:p>
      <w:r>
        <w:t>A/4545/2015 - 10/13 - plus poussée ne permettra pas de l'établir (Damien VALLAT, La nouvelle demande de prestations AI et les autres voies permettant la modification de décisions en force, RSAS 2003, p. 396 ch. 5.1 ; arrêt du Tribunal fédéral des assurances I.724/99 du 5 octobre 2001 consid. 1c/aa).</w:t>
      </w:r>
    </w:p>
    <w:p>
      <w:r>
        <w:rPr>
          <w:b/>
        </w:rPr>
        <w:t>E. 8</w:t>
      </w:r>
    </w:p>
    <w:p>
      <w:r>
        <w:t>En l'espèce, par décision du 26 septembre 2014, sur la base de l'avis du SMR, l'intimé a retenu que le recourant souffrait de lombosciatalgies gauches persistantes, sur canal lombaire étroit congénital, et d'une hernie discale L5-S1 gauche, entraînant une capacité de travail nulle dans son activité habituelle à compter du 1er octobre 2012, mais entière dans une activité adaptée à ses limitations fonctionnelles, soit une activité sans port de charges supérieures à 15 kg, sans position en porte-à-faux, accroupie, à genoux ou penchée en avant, sans vibrations et marche prolongée, et permettant une alternance des positions. Ce faisant, il a chiffré le degré d'invalidité du recourant à un taux de 16.5% et a, par conséquent, rejeté sa demande de prestations. Le recourant ne s'est pas opposé à cette décision, laquelle est alors entrée en force. Par sa nouvelle demande du 27 août 2015, le recourant allègue une modification des faits, en se prévalant d'une aggravation de son état de santé. Le recourant n'ayant toutefois produit aucun document médical soutenant ses allégations, c'est à juste titre que l'intimé lui a, de prime abord, par courrier du 28 août 2015, imparti un délai de trente jours pour produire tous les documents utiles permettant de rendre plausible l'aggravation alléguée de son état de santé. Ce délai était, en outre, dûment accompagné de l'avertissement des conséquences juridiques de l'omission, à savoir un refus d'entrer en matière. Dans le délai imparti, en date du 1er septembre 2015, le recourant a transmis à l'intimé un rapport de la Dresse F______ du 27 juillet 2015, indiquant que l'activité de chauffeur n'était pas adaptée à ses limitations fonctionnelles, puisque ne permettant pas une alternance des positions, et recommandant ainsi une réévaluation professionnelle. Par la suite, dans un courrier du 5 novembre 2015, le recourant a encore indiqué qu'en raison de la péjoration de son état de santé, il était désormais suivi par le Dr H______ au centre pluridisciplinaire de la douleur, ainsi que par une psychologue. Dans sa décision litigieuse du 16 novembre 2015, l'intimé a considéré que ledit rapport de la Dresse F______, de même que le courrier du recourant du 5 novembre 2015, ne démontraient pas d'aggravation plausible de son état de santé. Dès lors que l'intimé a respecté la procédure en octroyant un délai au recourant pour produire tous les documents utiles, la chambre de céans doit statuer d'après l'état de fait existant au moment où l'intimé a statué. A cet égard, la chambre de céans observe qu'à teneur de ces pièces, aucune aggravation plausible de l'état de santé du recourant n'est effectivement démontrée.</w:t>
      </w:r>
    </w:p>
    <w:p>
      <w:r>
        <w:t>A/4545/2015 - 11/13 - En particulier, la Dresse F______ ne fait pas état d'un autre diagnostic ou d'une aggravation des diagnostics de lombosciatalgies ou de hernie discale précédemment posés, ayant une répercussion significative sur la capacité de travail du recourant, reconnue entière dans une activité adaptée à ses limitations fonctionnelles. Du reste, en requérant une réévaluation professionnelle du recourant, la Dresse F______ ne prétend en tout cas pas que le recourant serait dans l'incapacité de travailler. La praticienne ne fait pas non plus état de limitations fonctionnelles supplémentaires, en recommandant une activité permettant l'alternance des positions. Au contraire, dans son avis du 12 juin 2013, le SMR avait déjà retenu l'alternance des positions comme critère de l'activité adaptée. Or, le stage d'observation et d'orientation professionnelle effectué par le recourant a permis d'établir que l'activité de coursier, voire toute autre activité légère ne nécessitant pas de formation particulière, pouvait être exercée par le recourant, en respectant ses limitations fonctionnelles. En définitive, la Dresse F______ n'émet qu'un avis quant au fait que l'activité de chauffeur ne peut pas être exercée de manière adaptée aux limitations fonctionnelles du recourant, sans toutefois motiver davantage cette position. On rappellera qu'une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consid. 4.1). S'agissant des pièces médicales produites après la décision litigieuse, à l'appui du recours du 22 décembre 2015, elles ne sauraient être prises en compte pour procéder à l’évaluation de la situation, puisque, dans un litige portant sur le bien- fondé du refus d’entrer en matière sur une nouvelle demande, le juge doit se contenter d’examiner la situation d’après l’état de fait tel qu’il se présentait à l’administration au moment où celle-ci a statué. Son examen se limite ainsi au point de savoir si les pièces déposées en procédure administrative justifient ou non la reprise de l’instruction du dossier (arrêt 9C_789/2012 du 27 juillet 2013 consid. 4.1). Dans ce type de procédure, il n’appartient pas à l’office intimé ou au tribunal cantonal d’instruire le cas sur le fond. Par conséquent, force est d'admettre que le recourant n'a pas rendu plausible une aggravation de son état de santé propre à modifier ses droits, depuis la décision du 26 septembre 2014, de sorte que c'est à juste titre que l'intimé a refusé d'entrer en matière sur sa nouvelle demande de prestations d'invalidité du 27 août 2015, par sa décision du 16 novembre 2015. Il demeure néanmoins loisible au recourant de saisir en tout temps l'administration d'une nouvelle demande de prestations s'il estime que les conditions en sont remplies, documents à l'appui.</w:t>
      </w:r>
    </w:p>
    <w:p>
      <w:r>
        <w:rPr>
          <w:b/>
        </w:rPr>
        <w:t>E. 9</w:t>
      </w:r>
    </w:p>
    <w:p>
      <w:r>
        <w:t>Mal fondé, le recours doit être rejeté.</w:t>
      </w:r>
    </w:p>
    <w:p>
      <w:r>
        <w:t>A/4545/2015 - 12/13 -</w:t>
      </w:r>
    </w:p>
    <w:p>
      <w:r>
        <w:rPr>
          <w:b/>
        </w:rPr>
        <w:t>E. 10</w:t>
      </w:r>
    </w:p>
    <w:p>
      <w:r>
        <w:t>Etant donné que depuis le 1er juillet 2006, la procédure n'est plus gratuite (art. 69 al. 1bis LAI), il y a lieu de condamner le recourant au paiement d'un émolument de CHF 200.-.</w:t>
      </w:r>
    </w:p>
    <w:p>
      <w:r>
        <w:t>A/4545/2015 - 13/13 -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