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ATAS/688/2012 vom 22. Mai 2012</w:t>
      </w:r>
    </w:p>
    <w:p>
      <w:r>
        <w:t>GE Cour de justice, 2012-05-22, FR</w:t>
      </w:r>
    </w:p>
    <w:p>
      <w:r>
        <w:rPr>
          <w:b/>
        </w:rPr>
        <w:t xml:space="preserve">Quelle: </w:t>
      </w:r>
      <w:r>
        <w:t>https://mcp.opencaselaw.ch/entscheid/ge_gerichte_ATAS_688_2012</w:t>
      </w:r>
    </w:p>
    <w:p>
      <w:r>
        <w:t>FR: GE_GERICHTE ATAS/688/2012 du 22 mai 2012</w:t>
      </w:r>
    </w:p>
    <w:p>
      <w:r>
        <w:t>IT: GE_GERICHTE ATAS/688/2012 del 22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A/30/2012 - 10/20 -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24 novembre 2011, est postérieure à l’entrée en vigueur de la LPGA, ainsi qu’à l’entrée en vigueur respectivement, le 1er janvier 2004 et le 1er janvier 2008, des modifications de la LAI du 21 mars 2003 (4ème révision) et de celles du 6 octobre 2006 (5ème révision). Par conséquent, du point de vue matériel, le droit à une rente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suppression à compter du 1er novembre 2006 de toute rente octroyée à la recourante.</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w:t>
      </w:r>
    </w:p>
    <w:p>
      <w:r>
        <w:rPr>
          <w:b/>
        </w:rPr>
        <w:t>E. 7</w:t>
      </w:r>
    </w:p>
    <w:p>
      <w:r>
        <w:t>En vertu de l’art. 28 al. 2 LAI, l’assuré a droit à une rente entière s’il est invalide à 70% au moins, à un trois-quarts de rente s'il est invalide à 60% au moins, à une</w:t>
      </w:r>
    </w:p>
    <w:p>
      <w:r>
        <w:t>A/30/2012 - 11/20 -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A/30/2012 - 12/20 -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A/30/2012 - 13/20 -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l’occurrence, la recourante est d’avis que contrairement à ce qu’a retenu l’intimé, elle ne peut exercer une activité adaptée à plein temps à compter du 14 juillet 2006, soit huit mois après l’intervention chirurgicale du rachis effectuée par le Dr P___________. Il n’est pas contestable que la recourante, qui souffre de lombalgies chroniques, de cervico-brachialgies droites et d’une périarthrite scapulo-humérale bilatérale, présente une incapacité de travail totale depuis le 15 janvier 2001 dans son activité habituelle d’aide-hospitalière. La recourante ne conteste par ailleurs pas qu’avant de subir l’intervention chirurgicale du rachis le 5 octobre 2005, sa capacité de travail dans une activité adaptée était totale depuis mars 2001, comme l’a retenu l’intimé dans sa décision litigieuse. Est contestée par contre, la capacité de travail résiduelle que présentait la recourante huit mois après cette intervention chirurgicale. Le 22 janvier 2007, la recourante a été soumise à un examen effectué par les Drs Q___________ et R___________, médecins auprès du SMR. Dans leur rapport du 23 janvier 2007, les Drs Q___________ et R___________ ont diagnostiqué avec répercussion sur la capacité de travail, des lombalgies chroniques persistantes et des</w:t>
      </w:r>
    </w:p>
    <w:p>
      <w:r>
        <w:t>A/30/2012 - 14/20 - cervico-brachialgies droites chroniques persistantes. Ils ont constaté que la situation lombaire s’était nettement améliorée suite à l’intervention chirurgicale; en revanche, depuis l’été 2006, les cervico-brachialgies droites étaient devenues plus importantes. Les limitations fonctionnelles étaient : la nécessité de pouvoir alterner deux fois par heure la position assise et la position debout, pas de soulèvement régulier de charges d’un poids excédant 5 kg, pas de port régulier de charge d’un poids excédant 7 kg, pas de travail en porte-à-faux statique prolongé du tronc, pas de travail impliquant le déploiement de force avec le membre supérieur droit, pas de travail se faisant avec le membre supérieur droit maintenu à plus de 45° de flexion et/ou d’abduction, pas de travail imposant le maintien de la tête dans une position extrême prolongée. Les médecins ont estimé que la recourante présentait une capacité de travail totale dans une activité adaptée depuis mars 2001, excepté pendant les six mois qui avaient suivi l’opération, période pendant laquelle son incapacité de travail avait été totale. Le 25 juin 2009, la recourante a été soumise à une expertise effectuée par les Drs T___________ et U___________, médecins auprès du BREM. Par rapport du 26 octobre 2009, les experts ont diagnostiqué avec répercussion sur la capacité de travail, une spondylodiscarthrose cervico-lombaire évoluée sans radiculopathie ni myélopathie, une périarthrite scapulo-humérale récidivante, un status après décompression et arthrodèse L4-L5 pour canal lombaire étroit sur spondylolisthésis dégénératif. Sans répercussion sur la capacité de travail, la recourante présentait notamment une neuropathie cubitale droite irritative et un status après cure du tunnel carpien et maladie de Dupuytren. En raison de ces troubles somatiques, la recourante présentait des limitations fonctionnelles : éviter le travail répété au- dessus de l’horizontale, le port de charges bras tendus ou en flexion statique de plus de 5-10kg de façon répétée, les mouvements répétés de serrage et dévissage, le port de charges de plus de 15 kg, la station assise ou debout prolongée de plus de 60 minutes d’affilée, les longs déplacements à pieds, le travail statique en porte-à-faux, en réclinaison, flexion ou torsion répétées du tronc, l’extension prolongée de la nuque, ainsi que les déplacements sur de longues distances. L’activité exercée devait permettre d’alterner les positions. S’agissant de la capacité de travail résiduelle, les experts ont également estimé que dans une activité adaptée, la capacité de travail était totale, mis à part la période chirurgicale du rachis qui avait donné lieu à une incapacité de travail totale dans toute activité sur six mois, avec une reprise à 50% pendant un mois, et à 75% pendant encore un mois. A huit mois post-opératoire, une capacité de travail totale dans une activité adaptée était donc exigible, étant précisé qu’une diminution de rendement de 10% dans l’activité à 100% devait être envisagée, en raison de la prise de médicaments pouvant interférer quelque peu avec la vigilance. La Cour de céans constate que tant le rapport des examinateurs que celui des experts se basent sur des examens de la recourante et sur son dossier assécurologique. Les anamnèses sont complètes et les plaintes ont été prises en</w:t>
      </w:r>
    </w:p>
    <w:p>
      <w:r>
        <w:t>A/30/2012 - 15/20 - considération. Les descriptions et les appréciations de la situation médicale sont claires. Les examinateurs et les experts se sont exprimés sur l'évolution de l'état de santé de la recourante, sur sa capacité de travail et sur ses limitations fonctionnelles. Enfin, ils ont dûment expliqué et motivé leur point de vue. Leurs conclusions sont cohérentes et convaincantes. Il s’ensuit que ces deux rapports remplissent en tous points les réquisits jurisprudentiels pour que leur soit accordée une pleine valeur probante. Par ailleurs, il ne ressort pas des rapports versés à la procédure d’éléments concrets susceptibles de remettre en cause leurs conclusions. En effet, les diagnostics posés par les examinateurs et les experts correspondent à ceux constatés par les Drs L___________, P___________ et M___________. S’agissant de la capacité de travail dans une activité adaptée après l’intervention chirurgicale, le Dr M___________ ne s’est pas prononcé sur cette question ; quant au Dr P___________ et à la Dresse L___________, ceux-ci ont certes indiqué qu’elle serait de 50% (rapports du Dr P___________ des 3 avril 2006,28 août 2008, 14 février et 18 juin 2009 ; rapports de la Dresse L___________ des 21 avril 2006 et</w:t>
      </w:r>
    </w:p>
    <w:p>
      <w:r>
        <w:rPr>
          <w:b/>
        </w:rPr>
        <w:t>E. 13</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la recourante - qui avait une capacité de travail résiduelle de 75% dès le 13 mai 2006, lui donnant droit à une demi-rente dès le 1er septembre 2006 - a eu, dès le 14 juillet 2006, une capacité de travail résiduelle de 90% aboutissant à un degré d'invalidité de 42%. Il s’ensuit qu’à compter du 1er novembre 2006, soit trois mois après l’amélioration de sa capacité de gain, la recourante a droit à un quart de rente. Par conséquent, le droit de la recourante à une demi-rente octroyé dès le 1er septembre 2006 - non contesté dans le cadre du recours - doit être diminué, dès le 1er novembre 2006, à un quart de rente. Compte tenu de ce qui précède, c’est à tort que l’intimé a supprimé le droit de la recourante à la rente au 31 octobre 2006.</w:t>
      </w:r>
    </w:p>
    <w:p>
      <w:r>
        <w:rPr>
          <w:b/>
        </w:rPr>
        <w:t>E. 14</w:t>
      </w:r>
    </w:p>
    <w:p>
      <w:r>
        <w:t>Au vu de ce qui précède, le recours sera admis partiellement et la décision du 24 novembre 2011 sera annulée en tant qu’elle limite le droit à la rente au 31 octobre 2006. La recourante obtenant gain de cause, une indemnité de 1'500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A/30/2012 - 20/20 -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