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ATAS/687/2016 vom 29. August 2016</w:t>
      </w:r>
    </w:p>
    <w:p>
      <w:r>
        <w:t>GE Cour de justice, 2016-08-29, FR</w:t>
      </w:r>
    </w:p>
    <w:p>
      <w:r>
        <w:rPr>
          <w:b/>
        </w:rPr>
        <w:t xml:space="preserve">Quelle: </w:t>
      </w:r>
      <w:r>
        <w:t>https://mcp.opencaselaw.ch/entscheid/ge_gerichte_ATAS_687_2016</w:t>
      </w:r>
    </w:p>
    <w:p>
      <w:r>
        <w:t>FR: GE_GERICHTE ATAS/687/2016 du 29 août 2016</w:t>
      </w:r>
    </w:p>
    <w:p>
      <w:r>
        <w:t>IT: GE_GERICHTE ATAS/687/2016 del 29 agosto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Interjeté dans les forme et délai prescrits par la loi, le recours est recevable (art. 56 ss LPGA).</w:t>
      </w:r>
    </w:p>
    <w:p>
      <w:r>
        <w:rPr>
          <w:b/>
        </w:rPr>
        <w:t>E. 4</w:t>
      </w:r>
    </w:p>
    <w:p>
      <w:r>
        <w:t>Le litige porte sur le point de savoir si l'événement du 27 juin 2015 peut être qualifié d'accident ou de lésion assimilée à un accident.</w:t>
      </w:r>
    </w:p>
    <w:p>
      <w:r>
        <w:rPr>
          <w:b/>
        </w:rPr>
        <w:t>E. 4.2</w:t>
      </w:r>
    </w:p>
    <w:p>
      <w:r>
        <w:t>et les références). Or, il est patent que ces conditions ne sont pas réalisées en l’espèce, l’intimée n’ayant jamais donné de garantie de prise en charge au recourant.</w:t>
      </w:r>
    </w:p>
    <w:p>
      <w:r>
        <w:rPr>
          <w:b/>
        </w:rPr>
        <w:t>E. 5</w:t>
      </w:r>
    </w:p>
    <w:p>
      <w:r>
        <w:t>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 U 502 p. 184 consid. 4.1, RAMA 1999 n° U 345 p. 422 consid. 2b).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Ainsi, la jurisprudence a admis l'existence d'un facteur exceptionnel lorsque, en soulevant ou en poussant une charge, une lésion se produit à cause d'un effort extraordinaire, c'est-à-dire manifestement excessif. Mais il faut examiner de cas en cas si l'effort doit être</w:t>
      </w:r>
    </w:p>
    <w:p>
      <w:r>
        <w:t>A/559/2016 - 6/13 -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w:t>
      </w:r>
    </w:p>
    <w:p>
      <w:r>
        <w:rPr>
          <w:b/>
        </w:rPr>
        <w:t>E. 6</w:t>
      </w:r>
    </w:p>
    <w:p>
      <w:r>
        <w:t>a) L’art. 6 al. 2 LAA a conféré au Conseil fédéral la compétence d’étendre la prise en charge par l’assurance-accidents à des lésions assimilables à un accident. Sur cette base, le Conseil fédéral a adopté l'art. 9 al. 2 de l'ordonnance sur l'assurance- 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En revanche, les sangles ou glissières des tendons ne peuvent être assimilées à des tendons au sens propre et leur déchirure ne peut être considérée comme une lésion assimilée (arrêt du Tribunal fédéral 8C_949/2010 du 1er décembre 2011 consid. 4.3.1).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w:t>
      </w:r>
    </w:p>
    <w:p>
      <w:r>
        <w:t>A/559/2016 - 7/13 -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w:t>
      </w:r>
    </w:p>
    <w:p>
      <w:r>
        <w:t>A/559/2016 - 8/13 -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(ATF U 287/00 du 22 février 2002), une brusque rotation dans une cuisine avec douleurs subséquentes au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(arrêt du Tribunal fédéral des assurances U 96/05 du 20 mai 2006 consid. 3.1; arrêt du Tribunal fédéral des assurances U 267/01 du 4 juin 2002 consid. 2a). Toutefois, selon le principe de la « déclaration</w:t>
      </w:r>
    </w:p>
    <w:p>
      <w:r>
        <w:t>A/559/2016 - 9/13 -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w:t>
      </w:r>
    </w:p>
    <w:p>
      <w:r>
        <w:rPr>
          <w:b/>
        </w:rPr>
        <w:t>E. 8</w:t>
      </w:r>
    </w:p>
    <w:p>
      <w:r>
        <w:t>Le recourant invoque en premier lieu qu’au vu du temps écoulé avant que l’intimée ne statue sur l’événement litigieux, il faut considérer que cette dernière a tacitement admis le caractère accidentel de son atteinte. Ce raisonnement ne saurait être suivi. Certes, aux termes de l'art. 29 al. 1 de la Constitution fédérale (Cst – RS),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 temps morts », elle ne peut invoquer une organisation déficiente ou une surcharge structurelle pour justifier la lenteur de la procédure (ATF 130 I 312 consid. 5.1 et 5.2). A titre d’exemples, en matière pénale, la jurisprudence a admis qu’apparaissent comme des carences choquantes une inactivité de 13 ou 14 mois au stade de l'instruction ou un délai de 4 ans pour qu'il soit statué sur un recours contre l'acte d’accusation (ATF 124 I 139 consid. 2c). En assurances sociales, un délai de 24 mois entre la fin de l'échange d'écritures et le prononcé du jugement cantonal a été considéré comme un retard inadmissible par le Tribunal fédéral, qui a cependant relevé qu'un tel délai représentait une situation limite (arrêts du Tribunal fédéral 8C_613/2009 du 22 février 2010 consid. 3 et 9C_831/2008 du 12 décembre 2008 consid. 2.2). En l’espèce, il s’est écoulé moins de six mois entre l’événement et la décision sujette à opposition, ce qui ne peut être considéré comme un délai particulièrement long. De plus, l’intimée n’est pas restée inactive pendant ce laps de temps puisqu’elle a régulièrement procédé à des mesures d’instruction en interpellant le recourant ou ses médecins traitants. On ne peut donc lui reprocher de retard injustifié, et un déni de justice ne peut à l’évidence pas être retenu.</w:t>
      </w:r>
    </w:p>
    <w:p>
      <w:r>
        <w:t>A/559/2016 - 10/13 - Par surabondance, il faut rappeler que la sanction du dépassement du délai raisonnable ou adéquat consiste d'abord dans la constatation de la violation du principe de célérité, qui constitue une forme de réparation pour celui qui en est la victime. Une telle violation peut cas échéant donner entraîner le paiement de dommages et intérêts (ATF 129 V 411 consid. 1.3 et 1.4). Elle n’a en revanche pas pour effet une reconnaissance du droit aux prestations. Un tel droit peut être reconnu en vertu de la protection de la bonne foi, garantie découlant de l'art. 9 Cst. qui préserve la confiance légitime que le citoyen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8C_104/2011 du 2 décembre 2011 consid.</w:t>
      </w:r>
    </w:p>
    <w:p>
      <w:r>
        <w:rPr>
          <w:b/>
        </w:rPr>
        <w:t>E. 9</w:t>
      </w:r>
    </w:p>
    <w:p>
      <w:r>
        <w:t>S’agissant du déroulement des événements, la chambre de céans retient ce qui suit. a) Le recourant n’a certes pas immédiatement déclaré qu’il était assisté d’un moniteur pour réaliser l’exercice de stretching lors duquel il s’est luxé l’épaule. Cependant, force est de constater que les indications données dans le questionnaire du 13 juillet 2015 sont très laconiques et ne donnent guère plus de détails que ceux qui figurent dans la déclaration de sinistre. Si on peut s’étonner que le recourant n’ait pas jugé utile de mentionner l’intervention d’un moniteur, dès lors que le questionnaire l’invitait précisément à fournir des détails circonstanciels sur la survenance de l’événement, la brièveté de ses réponses ne permet pas de retenir qu’il a donné tous les éléments pertinents à ce sujet. De plus, le formulaire à remplir ne contenait aucune question sur l’implication d’une tierce personne. En outre, le recourant n’a jamais indiqué qu’il procédait seul aux exercices d’étirement, que ce soit dans la déclaration de sinistre ou le questionnaire précité. Partant, on ne saurait voir de déclaration contradictoire dans le fait que le recourant ait précisé que la luxation résultait d’une manipulation par un tiers dans son opposition du 18 décembre 2015. Par conséquent, la chambre de céans retiendra que le recourant a subi une luxation de l’épaule alors qu’un moniteur lui faisait faire un exercice de stretching.</w:t>
      </w:r>
    </w:p>
    <w:p>
      <w:r>
        <w:t>A/559/2016 - 11/13 - b) En ce qui concerne la qualification de l’événement, c’est à juste titre que l’intimée a nié la survenance d’un accident. En effet, il apparaît qu’aucun facteur extérieur extraordinaire n’était présent, comme cela ressort d’ailleurs du questionnaire du 13 juillet 2015, dans lequel le recourant a répondu par la négative à la question de savoir si une chute, une glissade ou un heurt s’était produit. c) Il y a dès lors lieu d’examiner si l’atteinte relève d’une lésion assimilée à un accident. En ce qui concerne la nature de la lésion, soit une luxation de l’épaule, l’art. 9 al. 2 let. b de l’OLAA ne recouvre que des déboîtements d’articulations proprement dits (luxations), mais non des déboîtements incomplets (subluxations) ou des distorsions entraînant une élongation des ligaments des capsules articulaires par suite de mouvements violents excessifs (arrêt du Tribunal fédéral des assurances U 110/99 du 12 avril 2000 consid. 4). L’atteinte du recourant tombe ainsi bien dans le champ d’application de l’art. 9 al. 2 OLAA. Son caractère soudain et involontaire ne fait en outre aucun doute. Reste à déterminer si on peut admettre l’existence d’une cause extérieure. La Commission ad hoc sinistres LAA, dans ses recommandations en force jusqu’en mars 2012, indiquait qu’un événement assimilé à un accident doit être admis par exemple lorsque les douleurs surviennent lors de la pratique d’un sport. Elle précisait qu’en font partie tous les genres de sports, la marche pratiquée à titre de sport et le stretching inclus. Lors de la révision du 20 mars 2012 ayant donné lieu à la recommandation N° 2/86 Lésions corporelles assimilées à un accident (LCAA), consultable en ligne à l’adresse suivante : http://www.svv.ch/fr/politique-et- juridique/juridique/recommandations-de-la-commission-ad-hoc-sinistres-laa, la Commission ad hoc sinistres LAA a supprimé le passage « En font partie tous les genres de sports, la marche pratiquée à titre de sport et le stretching inclus ». Cela étant, cette recommandation ne saurait être comprise en ce sens que les lésions survenues durant la marche sportive ou le stretching ne peuvent jamais être assimilées à un accident, sans autre examen des circonstances dans lesquelles la lésion se serait produite. En outre,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Or, s’agissant du stretching, on ne peut nier d’emblée que cette activité comprend un risque de lésion accru. Une telle activité implique en effet des étirements qui sollicitent le corps dans une mesure excédant ce qui est physiologiquement usuel lors des mouvements du quotidien, ce qui constitue en soi déjà un facteur extérieur et présente un risque de lésion accru. En outre, le recourant a exposé – sans qu’il y ait lieu de mettre en doute ses déclarations, comme on l’a vu – qu’un nouveau moniteur l’aidait à réaliser ses étirements lors de l’événement litigieux, et que ce dernier avait appliqué une trop grande force. L’existence d’une</w:t>
      </w:r>
    </w:p>
    <w:p>
      <w:r>
        <w:t>A/559/2016 - 12/13 - cause extérieure au sens de la jurisprudence paraît ainsi incontestable. Sur ce point, on rappellera que contrairement à ce que l’intimée semble alléguer, il n’est pas nécessaire que la cause extérieure conduisant à une lésion assimilée à un accident soit violente. L’intimée fait enfin valoir que la luxation est davantage imputable à un état antérieur, invoquant une atteinte similaire en 2000. Or, il n’existe aucun rapport médical relatif à la chute de planche à voile en 2000, et on ignore donc la nature de la lésion. Partant, l’argument de l’intimée sur ce point relève de la spéculation. Au vu du fait que l’accident en 2000 n’a donné lieu qu’à une unique consultation médicale, et que le recourant n’a même pas jugé nécessaire de l’annoncer à son assureur-accidents à l’époque, il n’apparaît au demeurant guère vraisemblable qu’il ait laissé des séquelles produisant encore des effets 15 ans plus tard. Au vu de ce qui précède, la lésion subie par le recourant doit être assimilée à un accident, et l’intimée devra prendre à sa charge les suites de la blessure subie par le recourant le 27 juin 2015.</w:t>
      </w:r>
    </w:p>
    <w:p>
      <w:r>
        <w:rPr>
          <w:b/>
        </w:rPr>
        <w:t>E. 10</w:t>
      </w:r>
    </w:p>
    <w:p>
      <w:r>
        <w:t>Le recours est admis. Le recourant, qui n’est pas représenté, n’a pas droit à des dépens (art. 61 let. g LPGA). Pour le surplus, la procédure est gratuite (art. 61 let. a LPGA).</w:t>
      </w:r>
    </w:p>
    <w:p>
      <w:r>
        <w:t>A/559/2016 - 13/13 -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