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ATAS/687/2013 vom 27. Juni 2013</w:t>
      </w:r>
    </w:p>
    <w:p>
      <w:r>
        <w:t>GE Cour de justice, 2013-06-27, FR</w:t>
      </w:r>
    </w:p>
    <w:p>
      <w:r>
        <w:rPr>
          <w:b/>
        </w:rPr>
        <w:t xml:space="preserve">Quelle: </w:t>
      </w:r>
      <w:r>
        <w:t>https://mcp.opencaselaw.ch/entscheid/ge_gerichte_ATAS_687_2013</w:t>
      </w:r>
    </w:p>
    <w:p>
      <w:r>
        <w:t>FR: GE_GERICHTE ATAS/687/2013 du 27 juin 2013</w:t>
      </w:r>
    </w:p>
    <w:p>
      <w:r>
        <w:t>IT: GE_GERICHTE ATAS/687/2013 del 27 giugno 2013</w:t>
      </w:r>
    </w:p>
    <w:p>
      <w:pPr>
        <w:pStyle w:val="Heading2"/>
      </w:pPr>
      <w:r>
        <w:t>Erwägungen</w:t>
      </w:r>
    </w:p>
    <w:p>
      <w:r>
        <w:rPr>
          <w:b/>
        </w:rPr>
        <w:t>E. 1</w:t>
      </w:r>
    </w:p>
    <w:p>
      <w:r>
        <w:t>Conformément à l'art. 134 al. 1 let. a ch. 3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La compétence de la Cour de céans pour juger du cas d’espèce est ainsi établie.</w:t>
      </w:r>
    </w:p>
    <w:p>
      <w:r>
        <w:rPr>
          <w:b/>
        </w:rPr>
        <w:t>E. 2</w:t>
      </w:r>
    </w:p>
    <w:p>
      <w:r>
        <w:t>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 invalidité [LPFC ; RS GE J 4 20]) auprès du tribunal des assurances du canton de domicile de l’assuré (art. 58 al. 1 LPGA). Les délais fixés par la loi ne courent pas du 15 juillet au 15 août inclusivement (art. 38 al. 4 LPGA). b) S’agissant des prestations complémentaire cantonales, l’art. 43 LPCC ouvre les mêmes voies de droit. c) En l’espèce, le recours a été déposé dans les forme et délai imposés par la loi, de sorte qu’il est recevable.</w:t>
      </w:r>
    </w:p>
    <w:p>
      <w:r>
        <w:rPr>
          <w:b/>
        </w:rPr>
        <w:t>E. 3</w:t>
      </w:r>
    </w:p>
    <w:p>
      <w:r>
        <w:t>Les dispositions de la LPGA, en vigueur depuis le 1er janvier 2003, s’appliquent aux prestations complémentaires fédérales à moins que la LPC n’y déroge expressément (art. 1 al. 1 LPC). Il en va de même en matière de prestations complémentaires cantonales (cf. art. 1A al. 1 let. b LPCC).</w:t>
      </w:r>
    </w:p>
    <w:p>
      <w:r>
        <w:rPr>
          <w:b/>
        </w:rPr>
        <w:t>E. 4</w:t>
      </w:r>
    </w:p>
    <w:p>
      <w:r>
        <w:t>Le litige se limite à la question de la prescription soulevée par la recourante. Cette dernière ne conteste en effet plus à ce stade ni les calculs de l’intimé ni le fait que les prestations dont le remboursement lui est réclamé lui ont été versées à tort. Il conviendra dès lors de déterminer quel délai de prescription s’applique.</w:t>
      </w:r>
    </w:p>
    <w:p>
      <w:r>
        <w:t>A/3515/2012 - 4/11 -</w:t>
      </w:r>
    </w:p>
    <w:p>
      <w:r>
        <w:rPr>
          <w:b/>
        </w:rPr>
        <w:t>E. 5</w:t>
      </w:r>
    </w:p>
    <w:p>
      <w:r>
        <w:t>a) En ce qui concerne les prestations complémentaires fédérales, l’art. 25 LPGA prévoit que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b) Quant aux prestations complémentaires cantonales, l’art. 24 al. 1 LPCC stipule que les prestations indûment touchées doivent être restituées. En cas de silence de la LPCC, les prestations complémentaires cantonales sont régies par la LPC et ses dispositions d’exécution fédérales et cantonales (let. a) et la LPGA et ses dispositions d’exécution (let. b) conformément à l’art. 1A LPCC. c) L'obligation de restituer suppose, conformément à la jurisprudence (p. ex., ATF 129 V 110 consid. 1.1, 126 V 23 consid. 4b, 122 V 21 consid. 3a) que soient remplies les conditions d'une reconsidération ou d'une révision procédurale de la décision - formelle ou non - par laquelle les prestations en cause ont été allouées (ATFA non publié du 14 novembre 2006, P 32/06, consid. 3 ; ATF 130 V 320 consid. 5.2 et les références).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122 V 139 consid. 2e, voir également (ATF non publié P 61/2004 du 23 mars 2006).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w:t>
      </w:r>
    </w:p>
    <w:p>
      <w:r>
        <w:rPr>
          <w:b/>
        </w:rPr>
        <w:t>E. 6</w:t>
      </w:r>
    </w:p>
    <w:p>
      <w:r>
        <w:t>L’intimé soutient que le délai de prescription pénale peut s’appliquer au cas d’espèce.</w:t>
      </w:r>
    </w:p>
    <w:p>
      <w:r>
        <w:t>A/3515/2012 - 5/11 - a) Lorsqu'il statue sur la créance de l'intimée en restitution de prestations indûment versées, le juge peut examiner, à titre préjudiciel, si les circonstances correspondant à une infraction pénale sont réunies et, partant, si un délai de prescription plus long que les délais relatifs et absolus prévus par l'art. 25 al. 2 LPGA est applicable (ATAS/914/2012 du 19 juillet 212 ; ATAS/3/2012 du 10 janvier 2012). Pour que le délai de prescription plus long prévu par le droit pénal s'applique, il n'est pas nécessaire que l'auteur de l'infraction ait été condamné (ATF 118 V 193 consid. 4a; 113 V 256 consid. 4a; voir également ATF 122 III 225 consid. 4). b) En matière de prestations complémentaires, ce sont principalement les art. 31 LPC et 146 du Code pénal suisse du 21 décembre 1937 (CP ; RS 311.0) qui entrent en considération lorsqu’il y a lieu de déterminer si le délai pénal doit trouver application. L'art. 31 LPC - également applicable en matière de prestations complémentaires cantonales conformément à l’art. 1A LPCC - est subsidiaire aux crimes et délits de droit commun (ATF non publié 6S.288/2000 du 28 septembre 2000, consid. 2) et prévoit une peine pécuniaire n'excédant pas 180 jours-amendes la violation du devoir d’informer. Quant à l'art. 146 al. 1 CP, il sanctionne l’infraction d’escroquerie d’une peine privative de liberté de cinq ans au plus ou d’une peine pécuniaire. c) Selon l'art. 97 al. 1 CP, l'action pénale se prescrit par 30 ans si l'infraction était passible d'une peine privative de liberté à vie, par 15 ans si elle était passible d'une peine privative de liberté de plus de trois ans, et par 7 ans si elle était passible d'une autre peine. Le délai de prescription de l'action pénale pour une infraction telle que celle décrite à l'art. 31 LPC est donc de 7 ans, celui d’une infraction à l'art. 146 al. 1 CP de 15 ans. d) En renvoyant, à l'art. 25 al. 2 LPGA, au délai de prescription plus long prévu par le droit pénal, le législateur avait pour but d'éviter la péremption d'une créance en restitution de prestations indûment versées, en raison d'un acte punissable, aussi longtemps que l'auteur de l'infraction reste exposé à une poursuite pénale. Il est conforme à cet objectif d'appliquer également, dans ce contexte, les règles de droit transitoire prévues par le droit pénal (ATF non publié 8C_592/2007 du 20 août 2008, consid. 5.4.3).</w:t>
      </w:r>
    </w:p>
    <w:p>
      <w:r>
        <w:rPr>
          <w:b/>
        </w:rPr>
        <w:t>E. 7</w:t>
      </w:r>
    </w:p>
    <w:p>
      <w:r>
        <w:t>Il convient d'examiner, dans un premier temps, si la recourante s'est rendue coupable d'une escroquerie au sens de l'art. 146 CP. a) Aux termes de l'art. 146 CP,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w:t>
      </w:r>
    </w:p>
    <w:p>
      <w:r>
        <w:t>A/3515/2012 - 6/11 - L'escroquerie consiste à tromper la dupe. Pour qu'il y ait escroquerie, une simple tromperie ne suffit cependant pas; il faut qu'elle soit astucieuse. b/aa) 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consistant à conforter la victime dans son erreur, il ne suffit pas que l'auteur, en restant purement passif, bénéficie de l'erreur d'autrui; il faut que, par un comportement actif, c'est-à-dire par ses paroles ou par ses actes, il ait confirmé la dupe dans son erreur; cette hypothèse se distingue des deux précédentes en ce sens que l'erreur est préexistante (ATF 128 IV 255 consid. non publié 2b/aa, voir également ATF non publié 6B_243/2009 du 26 mai 2009, consid. 2.2.1). Ainsi, d'un côté, celui qui déclare faussement, par des affirmations expresses, qu'un fait n'existe pas, réalise une tromperie par commission. D'un autre côté, celui qui se borne à se taire, à savoir à ne pas révéler un fait, agit par omission. Entre ces deux extrêmes, toutes les nuances sont possibles. En particulier, le silence peut constituer dans certaines circonstances un acte concluant, partant, une tromperie par commission (ATF non publié 6S.288/2000 du 28 septembre 2000 consid. 3c/aa). b/bb) Lorsque l’assuré se borne à passivement percevoir les prestations complémentaires sans jamais spontanément déclarer sa situation financière réelle ni être interrogé à ce propos, on ne saurait considérer qu'il ait, en se limitant à accepter ces versements, confirmé mois après mois son indigence par acte concluant ou silence qualifié, partant, répété à chaque fois une tromperie par commission. En revanche, dans un tel cas, il pourrait s'agir d'une tromperie par omission (ATF non publié 6S.288/2000 du 28 septembre 2000 consid. 4b/bb). Cela étant, un assuré ne peut commettre de tromperie par omission que s'il se trouve dans une position de garant vis-à-vis de l’autorité. En l'absence de contrat ou de rapport de confiance spécial, seule la loi peut le placer dans une telle situation (ATF non publié 6S.288/2000 du 28 septembre 2000 consid. 4b/bb). Le Tribunal fédéral a considéré que l'assuré ne se trouvait pas dans une position de garant envers l'autorité, dans la mesure où il n'avait aucune responsabilité particulière envers celle-ci (cf. arrêt non publié 6S.288/2000 du 28 septembre 2000 consid. 4b/bb). En effet, l’art. 24 OPC-AVS/AI ne crée aucune position de garant</w:t>
      </w:r>
    </w:p>
    <w:p>
      <w:r>
        <w:t>A/3515/2012 - 7/11 - (ATF 131 IV 83). De l’avis de la Cour de céans, il en va de même des art. 20 OPC- AVS/AI, 29 et 31 al. 1 LPGA, qui ne placent pas l’assuré dans une position de garant vis-à-vis du SPC, de sorte que la jurisprudence énoncée dans l’arrêt non publié 6S.288/2000 précité reste pleinement applicable. b/cc) En revanche, si l’intimé ne s'est pas contenté de verser de manière routinière ses prestations à son bénéficiaire, mais l'a conduit à s'exprimer une ou plusieurs fois sur sa situation financière, au moins par acte concluant ou silence qualifié, par exemple en l'amenant à renouveler sa demande, il faut admettre que l’intéressé a commis des tromperies par action postérieurement à la première escroquerie. Celles-ci doivent alors être considérées comme autant de nouvelles escroqueries - si les autres conditions de cette infraction sont remplies (ATF non publié 6S.288/2000 du 28 septembre 2000, consid. 4b/bb). c/aa) L’astuce au sens de l’art. 146 CP est réalisée, lorsque l’auteur se sert d’un édifice de mensonges, de manœuvres frauduleuses ou d’une mise en scène. Cette condition est également donnée lorsqu’il donne simplement de fausses informations, si la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128 IV 18, p. 20, consid. 3a).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consid. 5.2). c/bb) Ces principes sont également applicables en matière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(ATF non publiés 6B_22/2011 du 23 mai 2011; 6B_576/2010 du 25 janvier 2011 consid. 4.1.2; 6B_689/2010 et 6B_690/2010 du 25 octobre 2010 consid. 4.3.4). d) Le Tribunal fédéral a notamment admis l’escroquerie dans le cas d’un assuré qui avait sollicité des prestations complémentaires en omettant d’indiquer qu’il disposait d’une fortune non négligeable. En effet, en déposant sa demande de</w:t>
      </w:r>
    </w:p>
    <w:p>
      <w:r>
        <w:t>A/3515/2012 - 8/11 - prestations, l’assuré avait implicitement affirmé qu’il en remplissait toutes les février 2012, consid. 6 ; ATAS/914/2012 du 19 juillet 2012).</w:t>
      </w:r>
    </w:p>
    <w:p>
      <w:r>
        <w:rPr>
          <w:b/>
        </w:rPr>
        <w:t>E. 8</w:t>
      </w:r>
    </w:p>
    <w:p>
      <w:r>
        <w:t>En l’espèce, il ressort du dossier que c'est en août 2005 que la succession de la mère de la recourante – décédée le 3 novembre 2004 - a été réglée. Il n’est pas contesté que la recourante n’a pas informé l’intimé du fait qu’elle avait hérité de sa mère un montant important. C'est lors de la révision périodique engagée en février 2012 que l'intimé a appris l'existence du bien immobilier en question et de l'héritage. Force est de constater que l'on se trouve donc dans la même situation que celle examinée par le Tribunal fédéral dans son arrêt 9C_622/2011 cité supra puisque, ce son côté, l'intimé a satisfait à son obligation d'élucider la situation financière de la recourante au moment du dépôt initial de la demande et que, par la suite, rien dans le comportement de cette dernière n'aurait pu lui permettre d'envisager qu'une modification considérable était survenue dans sa situation financière. Certes, la tromperie ne remonte pas au moment de la demande de prestations mais à tout le moins à août 2005, date à laquelle la recourante a été informée de l'issue de la liquidation de la succession. Cette tromperie peut en outre être qualifiée d’astucieuse, dès lors qu’il était quasiment impossible pour l’intimé d'apprendre l'existence du bien en question, celui-ci étant situé à l’étranger. Dès lors, c'est à juste titre que l'intimé a considéré que le délai de prescription pénale de 15 ans était applicable à sa créance en restitution, laquelle n'était pas prescrite lorsqu'il l'a fait valoir en 2012.</w:t>
      </w:r>
    </w:p>
    <w:p>
      <w:r>
        <w:rPr>
          <w:b/>
        </w:rPr>
        <w:t>E. 9</w:t>
      </w:r>
    </w:p>
    <w:p>
      <w:r>
        <w:t>A titre superfétatoire, on relèvera que la recourante s'est également rendue coupable d’une violation de l’obligation de renseigner (art. 31 LPC). a) Jusqu’au 31 décembre 2007, l’art. 16 al. 1er aLPC stipulait que celui qui, par des indications fausses ou incomplètes, ou de toute autre manière, aura obtenu d’un canton ou d’une institution d’utilité publique, pour lui-même ou pour autrui, l’octroi indu d’une prestation au sens de la LPC, sera puni de l’emprisonnement pour six mois au plus ou d’une amende de 20'000 fr. au plus. Quant à l’art. 24 OPC-AVS/AI, toujours applicable, il règle l’obligation de renseigner : ainsi, les ayants droit ou leur représentant légal ou, le cas échéant, les tiers ou les autorités à qui la prestation complémentaire est versée, doivent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Qui plus est, l’art. 31 al. 1 let. a LPC prévoit que celui qui, par des indications fausses ou incomplètes, ou de toute autre manière, obtient d’un canton ou d’une institution d’utilité publique, pour lui-même ou pour autrui, l’octroi indu d’une prestation au sens de la LPC est puni d’une peine pécuniaire n’excédant pas 180 jours-amendes. Il en va de même de celui qui manque à son obligation de communiquer au sens de l’art. 31 al. 1 LPGA. Conformément à cette dernière</w:t>
      </w:r>
    </w:p>
    <w:p>
      <w:r>
        <w:t>A/3515/2012 - 9/11 - disposition, l’ayant droit, ses proches ou les tiers auxquels une prestation est versée sont tenus de communiquer à l’assureur ou, selon le cas, à l’organe compétent, toute modification importante des circonstances déterminantes pour l’octroi d’une prestation. A noter que l’art. 31 LPGA n’entre en considération qu’en cas de modification importante des circonstances, soit plus de 120 fr. par année en matière de prestations complémentaires (voir art. 25 al. 1 let. d OPC-AVS/AI). b) Dans un ATF 131 IV 83, le Tribunal fédéral a précisé que l’infraction de l’art. 16 al. 1er aLPC était consommée du point de vue formel dès le premier versement des prestations complémentaires. A ce moment-là, tous les éléments constitutifs objectifs et subjectifs étaient réalisés. Vu l’exigence du (premier) versement accompli, la norme constitue une infraction de résultat. L’art. 16 aLPC n’était pas un délit continu, même si, après l’admission d’une demande de prestations complémentaires, les versements étaient effectués mensuellement et étaient ainsi étalés dans le temps et que le demandeur de prestations avait, pendant toute la durée des prestations, le devoir, en vertu de l’art. 24 OPC-AVS/AI, d’informer les autorités de toutes les circonstances qui pourraient avoir une influence sur le versement, respectivement le montant des prestations. Ainsi, celui qui obtient par des indications fausses ou incomplètes, ou de toute autre manière, pour lui-même ou pour autrui, l’octroi indu d’une prestation au sens de la LPC et qui viole ensuite son devoir de renseigner, ne poursuit la réalisation de l’infraction ni en maintenant de façon illicite un état de fait contraire au droit qu’il a créé, ni en poursuivant l’acte de façon ininterrompue. Celui qui commet une infraction au sens de l’art. 16 aLPC ne crée pas un état de fait contraire au droit mais provoque uniquement le résultat de l’infraction qui consiste en l’obtention indue de prestations. Le résultat de l’infraction ne dure pas mais est accompli à nouveau à chaque versement. La violation de l’obligation de renseigner au sens de l’art. 24 OPC-AVS/AI ne constitue pas une perception indue de prestations au sens de l’art. 16 aLPC, cette disposition ne créant aucune position de garant. Dans l’ATF 131 IV 83, la bénéficiaire des prestations avait intentionnellement dissimulé de façon mensongère une rente mensuelle et des valeurs patrimoniales dans sa demande de prestations complémentaires, en mars 1992. Le Tribunal fédéral a ainsi considéré qu’elle avait réalisé l’infraction de l’art. 16 al. 1er aLPC, étant précisé que la recourante ne contestait que la prescription en lien avec l’art. 16 aLPC, de sorte que l’examen de l’art. 146 CP ne faisait pas l’objet du recours. Par la suite, la recourante a reçu chaque année une feuille de décompte pour les prestations complémentaires, notifiée avec l’indication des voies de recours, qui l’avertissait de l’obligation de déclarer les modifications de sa situation personnelle également en cas de perception indue de prestations complémentaires. Le Tribunal fédéral a ainsi estimé qu’en ne tenant pas compte, jusqu’en mars 1998, des indications annuelles écrites de l’obligation de déclarer les modifications de sa situation personnelle (c’est-à-dire l’invitant à les annoncer), la recourante a dissimulé des éléments déterminants pour les prestations et ainsi exprimé</w:t>
      </w:r>
    </w:p>
    <w:p>
      <w:r>
        <w:t>A/3515/2012 - 10/11 - tacitement de façon mensongère, vis-à-vis des autorités, que sa situation, respectivement les conditions pour le versement des prestations ne s’étaient pas modifiées. Son silence revient sur ce point à une déclaration expresse, de sorte qu’il s’agit d’un cas de commission par silence qualifié. En guise de conclusion, notre Haute Cour a considéré que la recourante avait commis, par action, l’infraction de l’art. 16 aLPC chaque année de mars 1992 à mars 1998, de sorte que les délais de prescription commençaient à courir pour chaque infraction de la recourante de manière séparée, aucune unité d’action ne pouvant être retenue au vu du laps de temps assez long qui sépare les différents actes. c/aa) En l’espèce, les conditions de l’art. 16 aLPC - dans sa teneur en vigueur jusqu’au 31 décembre 2007 - et celles de l’art. 31 LPC - dans sa teneur depuis le 1er janvier 2008 sont à l’évidence réalisées, la recourante ayant, par son silence qualifié, certes tacitement mais de façon mensongère, dissimulé une part importante de fortune. Il y a par conséquent lieu de retenir qu’elle s’est à tout le moins rendue coupable d’une infraction aux art. 16 aLPC et 31 LPC chaque année, en ne réagissant pas aux décisions qui lui ont été notifiées par l’intimé, percevant ainsi des prestations complémentaires établies sur la base d’un état des revenus et du patrimoine inexact. En effet, à la lecture du détail des calculs, la recourante devait se rendre compte que sa part d’héritage n’avait pas été prise en considération. Par conséquent, en ne réagissant pas, elle a maintenu l’intimé dans l’erreur et commis l’infraction précitée par silence qualifié. Eu égard aux considérations qui précèdent, le recours est rejeté.</w:t>
      </w:r>
    </w:p>
    <w:p>
      <w:r>
        <w:t>A/3515/2012 - 11/11 -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