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ATAS/686/2025 vom 16. September 2025</w:t>
      </w:r>
    </w:p>
    <w:p>
      <w:r>
        <w:t>GE Cour de justice, 2025-09-16, FR</w:t>
      </w:r>
    </w:p>
    <w:p>
      <w:r>
        <w:rPr>
          <w:b/>
        </w:rPr>
        <w:t xml:space="preserve">Quelle: </w:t>
      </w:r>
      <w:r>
        <w:t>https://mcp.opencaselaw.ch/entscheid/ge_gerichte_ATAS_686_2025</w:t>
      </w:r>
    </w:p>
    <w:p>
      <w:r>
        <w:t>FR: GE_GERICHTE ATAS/686/2025 du 16 septembre 2025</w:t>
      </w:r>
    </w:p>
    <w:p>
      <w:r>
        <w:t>IT: GE_GERICHTE ATAS/686/2025 del 16 settembre 2025</w:t>
      </w:r>
    </w:p>
    <w:p>
      <w:pPr>
        <w:pStyle w:val="Heading2"/>
      </w:pPr>
      <w:r>
        <w:t>Erwägungen</w:t>
      </w:r>
    </w:p>
    <w:p>
      <w:r>
        <w:rPr>
          <w:b/>
        </w:rPr>
        <w:t>E. 1.1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l'AI, à moins que la loi n'y déroge expressément.</w:t>
      </w:r>
    </w:p>
    <w:p>
      <w:r>
        <w:rPr>
          <w:b/>
        </w:rPr>
        <w:t>E. 1.3</w:t>
      </w:r>
    </w:p>
    <w:p>
      <w:r>
        <w:t>Interjeté dans la forme et le délai – de trente jours – prévus par la loi, le recours est recevable (art. 56 ss LPGA ainsi que 62 ss de la loi sur la procédure administrative du 12 septembre 1985 [LPA - E 5 10]).</w:t>
      </w:r>
    </w:p>
    <w:p>
      <w:r>
        <w:rPr>
          <w:b/>
        </w:rPr>
        <w:t>E. 2.1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w:t>
      </w:r>
    </w:p>
    <w:p>
      <w:r>
        <w:t>A/423/2025 - 6/14 -</w:t>
      </w:r>
    </w:p>
    <w:p>
      <w:r>
        <w:rPr>
          <w:b/>
        </w:rPr>
        <w:t>E. 2.2</w:t>
      </w:r>
    </w:p>
    <w:p>
      <w:r>
        <w:t>L'objet de la présente procédure – circonscrit par la décision litigieuse – est le droit du recourant à une rente AI, conformément à ses conclusions. La chambre de céans observe que l'appréciation de l'état de santé et de la capacité de travail du recourant n'est pas contestée par le recourant, lequel ne formule aucune critique à cet égard, et que seul le calcul du degré d'invalidité est litigieux. Ensuite, il sied de relever que, dans sa réponse, l'intimé a conclu à l’admission partielle du recours et à l’octroi d’une rente d’invalidité à un taux de 56% durant la période limitée « du mois de novembre 2022 au mois d'avril 2024 ». Cette position est fondée sur les nouveaux calculs opérés par l'intimé, lequel tient désormais compte, à titre de revenu avec invalidité, des montants suivants : CHF 29'041.- (pour un taux d'activité de 55%) du 1er octobre au 31 mars 2024, CHF 44'262.- (pour un taux d'activité de 80%) du 1er avril au 31 octobre 2024 et CHF 50'586.- (pour un taux d'activité de 100%) dès le 1er novembre 2024. Dans la mesure où les deux parties convergent sur ces montants, lesquels correspondent aux revenus effectivement réalisés par le recourant pour les périodes respectives, comme revenu d'invalide, il convient de les admettre. Aussi, demeure litigieuse la question de la détermination du revenu sans invalidité pour le calcul du taux d'invalidité et, par conséquent, l'étendue et la quotité du droit à la rente.</w:t>
      </w:r>
    </w:p>
    <w:p>
      <w:r>
        <w:rPr>
          <w:b/>
        </w:rPr>
        <w:t>E. 3</w:t>
      </w:r>
    </w:p>
    <w:p>
      <w:r>
        <w:t>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3.1</w:t>
      </w:r>
    </w:p>
    <w:p>
      <w:r>
        <w:t>Le 1er janvier 2022, les modifications de la LAI du 19 juin 2020 (développement continu de l’AI ; RO 2021 705) ainsi que celles du</w:t>
      </w:r>
    </w:p>
    <w:p>
      <w:r>
        <w:rPr>
          <w:b/>
        </w:rPr>
        <w:t>E. 3.2</w:t>
      </w:r>
    </w:p>
    <w:p>
      <w:r>
        <w:t>En l’occurrence, un éventuel droit à une rente naîtrait au plus tôt le 1er novembre 2022, soit six mois après le dépôt de la demande de prestations du 20 mai 2022 (cf. art. 29 al. 1 LAI), de sorte que les dispositions légales seront citées dans leur nouvelle teneur.</w:t>
      </w:r>
    </w:p>
    <w:p>
      <w:r>
        <w:t>A/423/2025 - 7/14 -</w:t>
      </w:r>
    </w:p>
    <w:p>
      <w:r>
        <w:rPr>
          <w:b/>
        </w:rPr>
        <w:t>E. 4.1</w:t>
      </w:r>
    </w:p>
    <w:p>
      <w:r>
        <w:t>L'art. 8 LPGA prévoit qu'est réputée invalidité l'incapacité de gain totale ou partielle qui est présumée permanente ou de longue durée. L'art. 4 LAI précise que l'invalidité peut résulter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4.2</w:t>
      </w:r>
    </w:p>
    <w:p>
      <w:r>
        <w:t>À teneur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1bis LAI précise qu'une rente n'est pas octroyée tant que toutes les possibilités de réadaptation au sens de l'art. 8 al. 1bis et 1ter [LAI] n'ont pas été épuisées. 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w:t>
      </w:r>
    </w:p>
    <w:p>
      <w:r>
        <w:rPr>
          <w:b/>
        </w:rPr>
        <w:t>E. 4.3</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et les références ; 130 V 343 consid. 3.5.2 ; 125 V 413 consid. 2d et les références).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w:t>
      </w:r>
    </w:p>
    <w:p>
      <w:r>
        <w:t>A/423/2025 - 8/14 -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L'octroi rétroactif d'une rente d'invalidité limitée dans le temps présuppose, en règle générale, l'existence de motifs de révision, c'est-à-dire un changement ayant une incidence sur le droit à la rente intervenu avant même que la décision de rente ne soit rendue (ATF 148 V 321 consid. 7.3.1 ; 145 V 215 V 215 consid. 8.2 ; 145 V 209 consid. 5.3). Dans le cas de l’octroi rétroactif d’une rente temporaire ou échelonnée, les bases de comparaison déterminantes sont, d'une part, la date du début du droit à la rente et, d'autre part, la date de la modification du droit à la rente compte tenu du délai de trois mois de l'art. 88a RAI (arrêt du Tribunal fédéral 8C_51/2024 du 2 juillet 2024 consid. 2.4 et les références).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w:t>
      </w:r>
    </w:p>
    <w:p>
      <w:r>
        <w:rPr>
          <w:b/>
        </w:rPr>
        <w:t>E. 5.1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Lors de l’octroi d’une rente échelonnée ou limitée dans le temps, le moment déterminant pour effectuer la comparaison est d’une part le moment du début du droit à la rente et d’autre part, celui de la diminution ou de la suppression de la</w:t>
      </w:r>
    </w:p>
    <w:p>
      <w:r>
        <w:t>A/423/2025 - 9/14 - rente en application du délai de trois mois prévu à l’art. 88a al. 1 RAI (arrêt du Tribunal fédéral I 716/06 du 12 juillet 2007 consid. 5.2).</w:t>
      </w:r>
    </w:p>
    <w:p>
      <w:r>
        <w:rPr>
          <w:b/>
        </w:rPr>
        <w:t>E. 5.2</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5.3</w:t>
      </w:r>
    </w:p>
    <w:p>
      <w:r>
        <w:t>Pour fixer le revenu sans invalidité, il faut établir ce que l'assuré aurait – au degré de la vraisemblance prépondérante – réellement pu obtenir au moment déterminant s'il n'était pas invalide (ATF 139 V 28 consid. 3.3.2 et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134 V 322 consid. 4 ; arrêt du Tribunal fédéral 9C_869/2017 du 4 mai 2018 consid. 2.2). Ce n'est qu'en présence de circonstances particulières qu'il peut se justifier qu'on s'en écarte et qu'on recoure aux données statistiques résultant des ESS. Tel sera le cas lorsqu'on ne dispose d'aucun renseignement au sujet de la dernière activité professionnelle de l'assuré ou lorsque celui-ci a cessé son activité depuis plusieurs années (ATF 129 V 222 ; arrêt du Tribunal fédéral I 636/02 du 15 avril 2003 consid. 4.1) ou lorsque l’absence d’emploi est due à des motifs étrangers à l’invalidité (arrêt du Tribunal fédéral 9C_525/2021 du 31 mai 2022 consid. 6.2.1).</w:t>
      </w:r>
    </w:p>
    <w:p>
      <w:r>
        <w:rPr>
          <w:b/>
        </w:rPr>
        <w:t>E. 5.4</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w:t>
      </w:r>
    </w:p>
    <w:p>
      <w:r>
        <w:rPr>
          <w:b/>
        </w:rPr>
        <w:t>E. 5.5</w:t>
      </w:r>
    </w:p>
    <w:p>
      <w:r>
        <w:t>Il y a lieu de se référer en principe toujours aux données de l’ESS les plus récentes. Sont déterminantes les données publiées au moment de la décision attaquée et non celles qui l’ont été plus tard (ATF 143 V 295 consid. 4.1.1 ; arrêt du Tribunal fédéral 8C_655/2016 du 4 août 2017 consid. 6.3 ; arrêt du Tribunal administratif fédéral C-1327/2017 du 29 mars 2021 consid. 10.3.1 et les références).</w:t>
      </w:r>
    </w:p>
    <w:p>
      <w:r>
        <w:rPr>
          <w:b/>
        </w:rPr>
        <w:t>E. 5.6</w:t>
      </w:r>
    </w:p>
    <w:p>
      <w:r>
        <w:t>Lorsque les tables ESS sont appliquées, il convient de se fonder, en règle générale, sur les salaires mensuels indiqués dans la table TA1, à la ligne « total secteur privé » ; on se réfère alors à la statistique des salaires bruts standardisés, en se fondant toujours sur la valeur médiane ou centrale (ATF 124 V 321 consid. 3b), étant précisé que, depuis l'ESS 2012, il y a</w:t>
      </w:r>
    </w:p>
    <w:p>
      <w:r>
        <w:t>A/423/2025 - 10/14 - lieu d'appliquer le tableau TA1_skill_ level et non pas le tableau TA1_b (ATF 142 V 178 ; arrêts du Tribunal fédéral 8C_46/2018 du 11 janvier 2019 consid. 4.4 ; 8C_228/2017 du 14 juin 2017 consid. 4.2.2).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(arrêts du Tribunal fédéral 8C_625/2008 du 26 février 2009 consid. 3.2.1 ; 9C_237/2007 du 24 août 2007 consid. 5.1, non publié à l'ATF 133 V 545, et les références ; voir aussi arrêt du Tribunal fédéral 9C_29/2012 du 27 juin 2012 consid. 4.2). C'est le lieu de préciser que les tables TA1, T1 et TA7 des ESS publiées jusqu'en 2010 correspondent respectivement aux tables TA1_skill_level, T1_tirage_skill_level et T17 des ESS publiées depuis 2012 (arrêt du Tribunal fédéral 8C_66/2020 du 14 avril 2020 consid. 4.2.2 et les références).</w:t>
      </w:r>
    </w:p>
    <w:p>
      <w:r>
        <w:rPr>
          <w:b/>
        </w:rPr>
        <w:t>E. 5.7</w:t>
      </w:r>
    </w:p>
    <w:p>
      <w:r>
        <w:t>La jurisprudence concernant l’utilisation de la table TA7 en lieu et place de la TA1, est applicable, mutatis mutandis, à la détermination du revenu sans invalidité lorsque celui-ci doit exceptionnellement être déterminé sur la base des tables ESS, étant donné que le revenu sans invalidité doit être évalué de la manière la plus concrète possible (arrêt du Tribunal fédéral 8C_66/2020 précité consid. 4.3 et les références).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w:t>
      </w:r>
    </w:p>
    <w:p>
      <w:r>
        <w:t>A/423/2025 - 11/14 - l’administration ou le juge devrait statuer, dans le doute, en faveur de l’assuré (ATF 135 V 39 consid. 6.1 et la référence).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I.321/04 du 18 juillet 2005 consid. 5).</w:t>
      </w:r>
    </w:p>
    <w:p>
      <w:r>
        <w:rPr>
          <w:b/>
        </w:rPr>
        <w:t>E. 7.1</w:t>
      </w:r>
    </w:p>
    <w:p>
      <w:r>
        <w:t>En l’occurrence, l'intimé a reconnu un statut d'actif à 100% au recourant et fixé le début du droit à la rente d’invalidité six mois après la demande de prestations, reçue par l’intimé en mai 2022, soit au 1er novembre 2022, en conformité avec l’art. 29 LAI. Ces éléments ne sont pas contestés et il n'y a pas lieu d'y revenir.</w:t>
      </w:r>
    </w:p>
    <w:p>
      <w:r>
        <w:rPr>
          <w:b/>
        </w:rPr>
        <w:t>E. 7.2</w:t>
      </w:r>
    </w:p>
    <w:p>
      <w:r>
        <w:t>Concernant le revenu d'invalide, la chambre de céans rappellera simplement que l'intimé, dans son mémoire réponse, reconnaît qu'il doit être déterminé sur la base des revenus effectivement réalisés par le recourant, ce que ce dernier admet, de sorte qu'il n'est plus litigieux.</w:t>
      </w:r>
    </w:p>
    <w:p>
      <w:r>
        <w:rPr>
          <w:b/>
        </w:rPr>
        <w:t>E. 7.3</w:t>
      </w:r>
    </w:p>
    <w:p>
      <w:r>
        <w:t>S’agissant du revenu sans invalidité, l’intimé s'est fondé sur la table ESS TA1_tirage_skill-level (secteur privé), ligne 77, 79-82 (« Activités de services admin. (sans 78) »), niveau 2, au motif que le recourant se trouve dans la situation d'un « assuré invalide de naissance ou invalide précoce » mais ayant néanmoins achevé une formation avec l'obtention d'un CFC. Dans ce contexte, il estime que, sans atteinte à la santé, il travaillerait selon toute vraisemblance dans un poste administratif. Le recourant ne conteste pas l’utilisation des données statistiques pour fixer son revenu sans invalidité, mais critique le choix de la table utilisée par l’intimé, faisant valoir qu’il se justifie d’appliquer la table T17, qui serait plus appropriée.</w:t>
      </w:r>
    </w:p>
    <w:p>
      <w:r>
        <w:rPr>
          <w:b/>
        </w:rPr>
        <w:t>E. 7.3.1</w:t>
      </w:r>
    </w:p>
    <w:p>
      <w:r>
        <w:t>Dès lors que l'atteinte à la santé du recourant a été reconnue comme étant intervenue de manière précoce, on ne peut pas se fier aux revenus réalisés par le recourant durant son parcours professionnel et le revenu sans invalidité doit effectivement être déterminé sur la base des tables ESS. Cela étant, dans la mesure où il est au bénéfice d’un CFC d’employé de commerce, il y a lieu, conformément à la jurisprudence (cf. par analogie arrêt du Tribunal fédéral 8C_66/2020 précité consid. 4.3 et les références), de se fonder sur la table T17, groupe 4 (« employé(e)s de type administratif »), laquelle se révèle appropriée car elle permet d’évaluer le revenu que le recourant aurait réalisé sans l’atteinte à la santé,</w:t>
      </w:r>
    </w:p>
    <w:p>
      <w:r>
        <w:t>A/423/2025 - 12/14 - en tant qu’employé de commerce avec un CFC, dans les secteurs privé et public, et ce de manière plus concrète que la table TA1_tirage_skill_level, ligne 77, 79- 82, qui ne couvre que le secteur privé. Selon la table T17 de 2022 (publiée le 29 mai 2024), le revenu mensuel est de CHF 6'260.- (« employé(e)s de type administratif », total hommes, tous âges confondus [à cet égard, cf. arrêt du Tribunal fédéral 8C_66/2020 précité consid. 4.3]), soit CHF 75'120.- (6'260 x 12) en 2022. Comme les salaires bruts standardisés tiennent compte d'un horaire de 40 heures, soit d'une durée hebdomadaire de travail inférieure à la moyenne usuelle dans la branche en 2022 (42 heures par semaine ; Office fédéral de la statistique [ci-après : l'OFS] - statistique de la durée normale du travail dans les entreprises, DNT ; T 03.02.03.01.04.01), ce montant doit être porté à CHF 78'876.- (75'120 / 40 x 42). On rappellera que pour la période du 1er novembre 2022 au 31 mars 2024, le revenu avec invalidité, retenu en dernier lieu par l'intimé et non contesté, est le montant de CHF 29'041.-. Aussi en novembre 2022, il sied de retenir que le recourant présentait un taux d'invalidité de 63% ([78'876 - 29'041] x 100 / 78'876).</w:t>
      </w:r>
    </w:p>
    <w:p>
      <w:r>
        <w:rPr>
          <w:b/>
        </w:rPr>
        <w:t>E. 7.3.2</w:t>
      </w:r>
    </w:p>
    <w:p>
      <w:r>
        <w:t>Pour tenir, ensuite, compte de la modification du revenu d'invalide intervenue le 1er avril 2024 – en raison de la hausse de son taux d'activité à 80% –, il convient d'opérer une nouvelle comparaison des revenus, après l'échéance du délai de trois mois prévu à l’art. 88a al. 1 RAI (cf. à ce sujet, notamment, arrêt du Tribunal fédéral 8C_285/2020 du 15 septembre 2020 consid. 5), soit au 1er juillet 2024. Pour ce faire, il est nécessaire d'adapter le montant du revenu sans invalidité de CHF 78'876.- à l'année de référence 2024. L'ISS 2024 a été publié le 22 avril 2025, soit postérieurement à la décision litigieuse, rendue le 6 janvier 2025, de sorte que l'intimé ne disposait pas de cette donnée et qu'on ne saurait s'y référer (cf. arrêt du Tribunal fédéral 8C_659/2022, 8C_707/2022 du 2 mai 2023 consid. 7.2 ; ATAS/77/2024 du 5 février 2024 consid. 13.3). En revanche, le 29 novembre 2024, l'OFS a publié une troisième estimation de l'évaluation des salaires en 2024, basée sur les données des trois premiers trimestres (estimation trimestrielle), selon laquelle les salaires nominaux avaient augmenté de 1.5% par rapport au même trimestre de l'année précédente, soit 2023 ; on relèvera en outre qu'en 2023, ces salaires nominaux avaient déjà augmenté de 1.8% par rapport au même trimestre en 2022 (données disponibles sur : OFS, Évolution des salaires en 2024 : troisième estimation basée sur les données des trois premiers trimestres - GNP Diffusion). Il sied ainsi de se fonder sur ces données pour adapter le revenu sans invalidité à l'année 2024. Il s'ensuit que le revenu de valide s'élève à CHF 81'500.25 pour un plein temps en 2024 (CHF 78'876 + 1.8% en 2023 = 80'295.80 + 1.5% en 2024 = 81'500.25).</w:t>
      </w:r>
    </w:p>
    <w:p>
      <w:r>
        <w:t>A/423/2025 - 13/14 - Aussi, avec un revenu avec invalidité – non contesté – s'élevant à CHF 44'262.- au 1er avril 2024, le recourant présentait dès le 1er juillet 2024 un taux d'invalidité de 46% ( [81'500.25 - 44'262] x 100 / 81'500.25).</w:t>
      </w:r>
    </w:p>
    <w:p>
      <w:r>
        <w:rPr>
          <w:b/>
        </w:rPr>
        <w:t>E. 7.4</w:t>
      </w:r>
    </w:p>
    <w:p>
      <w:r>
        <w:t>Quant à la modification du revenu d'invalide intervenue le 1er novembre 2024, elle n'a pas à être examinée dans le cadre de la présente procédure, dès lors que cet élément ne peut être pris en compte pour la comparaison des revenus qu'après l'échéance du délai de trois mois prévu à l'art. 88a al. 1 RAI (cf. jurisprudence citée plus haut), soit à partir du 1er février 2025. Or, on rappellera que la décision litigieuse a été rendue le 6 janvier 2025, de sorte que ce point excède l'objet du présent litige. Il appartiendra ainsi à l'intimé de rendre une nouvelle décision sur une éventuelle modification du droit à la rente.</w:t>
      </w:r>
    </w:p>
    <w:p>
      <w:r>
        <w:rPr>
          <w:b/>
        </w:rPr>
        <w:t>E. 7.5</w:t>
      </w:r>
    </w:p>
    <w:p>
      <w:r>
        <w:t>Dans la mesure de ce qui précède, le recourant a droit à une rente AI correspondant à une invalidité de 63% durant la période du 1er novembre 2022 au 30 juin 2024, puis de 46% dès le 1er juillet 2024.</w:t>
      </w:r>
    </w:p>
    <w:p>
      <w:r>
        <w:rPr>
          <w:b/>
        </w:rPr>
        <w:t>E. 8</w:t>
      </w:r>
    </w:p>
    <w:p>
      <w:r>
        <w:t>Le recours est admis. Le recourant obtenant gain de cause et étant assisté d’une association mandataire, une indemnité de CHF 2'500.-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A/423/2025 - 14/14 -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