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ATAS/686/2023 vom 14. September 2023</w:t>
      </w:r>
    </w:p>
    <w:p>
      <w:r>
        <w:t>GE Cour de justice, 2023-09-14, FR</w:t>
      </w:r>
    </w:p>
    <w:p>
      <w:r>
        <w:rPr>
          <w:b/>
        </w:rPr>
        <w:t xml:space="preserve">Quelle: </w:t>
      </w:r>
      <w:r>
        <w:t>https://mcp.opencaselaw.ch/entscheid/ge_gerichte_ATAS_686_2023</w:t>
      </w:r>
    </w:p>
    <w:p>
      <w:r>
        <w:t>FR: GE_GERICHTE ATAS/686/2023 du 14 septembre 2023</w:t>
      </w:r>
    </w:p>
    <w:p>
      <w:r>
        <w:t>IT: GE_GERICHTE ATAS/686/2023 del 14 settembre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w:t>
      </w:r>
    </w:p>
    <w:p>
      <w:r>
        <w:t>A/4067/2022 - 7/19 -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 Dans la mesure où le recours (du 29 novembre 2022) a été interjeté postérieurement au 1er janvier 2021, il est soumis au nouveau droit (cf. art. 82a LPGA).</w:t>
      </w:r>
    </w:p>
    <w:p>
      <w:r>
        <w:rPr>
          <w:b/>
        </w:rPr>
        <w:t>E. 4.1</w:t>
      </w:r>
    </w:p>
    <w:p>
      <w:r>
        <w:t>Des modifications législatives et réglementaires sont entrées en vigueur au 1er janvier 2021 dans le cadre de la Réforme des PC (LPC, modification du 22 mars 2019, RO 2020 585, FF 2016 7249; OPC-AVS/AI [ordonnance du 15 janvier 1971 sur les prestations complémentaires à l’assurance-vieillesse, survivants et invalidité - RS 831.301], modification du 29 janvier 2020, RO 2020 599).</w:t>
      </w:r>
    </w:p>
    <w:p>
      <w:r>
        <w:rPr>
          <w:b/>
        </w:rPr>
        <w:t>E. 4.2</w:t>
      </w:r>
    </w:p>
    <w:p>
      <w:r>
        <w:t>Du point de vue temporel, sous réserve de dispositions particulières de droit transitoire, le droit applicable est déterminé par les règles en vigueur au moment où les faits juridiquement déterminants se sont produits (ATF 144 V 210 consid. 4.3.1 et les références ; ATF 136 V 24 consid. 4.3 ; ATF 130 V 445 consid. 1 et les références ; ATF 129 V 1 consid. 1.2 et les références).</w:t>
      </w:r>
    </w:p>
    <w:p>
      <w:r>
        <w:rPr>
          <w:b/>
        </w:rPr>
        <w:t>E. 4.3</w:t>
      </w:r>
    </w:p>
    <w:p>
      <w:r>
        <w:t>En l'occurrence, dans la mesure où le recours porte sur la restitution de prestations complémentaires perçues du 1er octobre 2012 au 31 mars 2019, soit une période antérieure au 1er janvier 2021, le litige reste soumis à l'ancien droit, en l'absence de dispositions transitoires prévoyant une application rétroactive du nouveau droit. Les dispositions légales et réglementaires seront donc citées ci-après dans leur teneur en vigueur jusqu'au 31 décembre 2020.</w:t>
      </w:r>
    </w:p>
    <w:p>
      <w:r>
        <w:rPr>
          <w:b/>
        </w:rPr>
        <w:t>E. 5</w:t>
      </w:r>
    </w:p>
    <w:p>
      <w:r>
        <w:t>Le délai de recours est de trente jours (art. 60 al. 1 LPGA ; art. 9 de la loi cantonale sur les prestations fédérales complémentaires à l'assurance-vieillesse et survivants et à l'assurance-invalidité du 14 octobre 1965 [LPFC - J 4 20]) ; art. 43 LPCC ; art. 62 al. 1 let. a de la loi sur la procédure administrative du 12 septembre 1985 [LPA - E 5 10]). Interjeté dans la forme (art. 61 let. b LPGA) et le délai prévus par la loi, le recours est recevable.</w:t>
      </w:r>
    </w:p>
    <w:p>
      <w:r>
        <w:t>A/4067/2022 - 8/19 -</w:t>
      </w:r>
    </w:p>
    <w:p>
      <w:r>
        <w:rPr>
          <w:b/>
        </w:rPr>
        <w:t>E. 6</w:t>
      </w:r>
    </w:p>
    <w:p>
      <w:r>
        <w:t>Le litige se limite à la question de savoir si c’est à juste titre que l’intimé a requis de la recourante la restitution des prestations complémentaires cantonales pour la période courant du 1er octobre 2012 au 31 mars 2019, et des subsides d’assurance- maladie alloués entre 2016 et 2019. Singulièrement, il porte sur le bien-fondé de la prise en compte d'un loyer proportionnel dans le calcul des prestations complémentaires (pour la période du 1er septembre 2013 au 31 mars 2019).</w:t>
      </w:r>
    </w:p>
    <w:p>
      <w:r>
        <w:rPr>
          <w:b/>
        </w:rPr>
        <w:t>E. 7.1</w:t>
      </w:r>
    </w:p>
    <w:p>
      <w:r>
        <w:t>Sur le plan fédéral, les personnes qui ont leur domicile et leur résidence habituelle (art. 13 LPGA) en Suisse et qui remplissent les conditions personnelles prévues aux art. 4, 5, 6 et 8 LPC ont droit à des prestations complémentaires. Ont ainsi droit aux prestations complémentaires notamment les personnes qui perçoivent une rente de vieillesse de l'assurance-vieillesse et survivants, conformément à l'art. 4 al. 1 let. a LPC.</w:t>
      </w:r>
    </w:p>
    <w:p>
      <w:r>
        <w:rPr>
          <w:b/>
        </w:rPr>
        <w:t>E. 7.2</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7.3</w:t>
      </w:r>
    </w:p>
    <w:p>
      <w:r>
        <w:t>Selon l’art. 11 al. 1 LPC, les revenus déterminants comprennent notamment les rentes, pensions et autres prestations périodiques, y compris les rentes de l’AVS et de l’AI (let. d). Selon la jurisprudence et la doctrine, s'agissant de la prise en compte de rentes étrangères, « les rentes provenant de l'étranger sont entièrement prises en compte comme revenus, ceci également lorsqu'elles sont versées à l'étranger sous réserve qu'elles puissent servir à l'entretien de l'ayant droit, c'est-à-dire qu'elles soient exportables et qu'il existe une possibilité de transfert effectif en Suisse. L'assuré doit faire les efforts que l'on peut raisonnablement exiger de lui afin qu'un tel transfert ait lieu, à défaut de quoi il faut admettre un dessaisissement de fortune au sens de l'art. 11 al. 1 let. g LPC » (Michel VALTERIO, Commentaire de la loi fédérale sur les prestations complémentaires à l'AVS et à l'AI, 2015, n. 74 ad art. 11 LPC ; arrêt du Tribunal fédéral P.38/06 du 11 octobre 2007 consid. 3.1 et 3.3.2.2).</w:t>
      </w:r>
    </w:p>
    <w:p>
      <w:r>
        <w:rPr>
          <w:b/>
        </w:rPr>
        <w:t>E. 7.4</w:t>
      </w:r>
    </w:p>
    <w:p>
      <w:r>
        <w:t>L'art. 10 LPC définit les dépenses reconnues et fixe notamment le montant maximal reconnu pour le loyer d'un appartement. Pour les personnes seules, le montant du loyer de l’appartement et des frais accessoires y relatifs s’élève à CHF 13'200.- par an (art. 10 al. 1 let. b ch. 1 LPC).</w:t>
      </w:r>
    </w:p>
    <w:p>
      <w:r>
        <w:rPr>
          <w:b/>
        </w:rPr>
        <w:t>E. 7.5</w:t>
      </w:r>
    </w:p>
    <w:p>
      <w:r>
        <w:t>En vertu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w:t>
      </w:r>
    </w:p>
    <w:p>
      <w:r>
        <w:t>A/4067/2022 - 9/19 - complémentaire annuelle (al. 1). En principe, le montant du loyer est réparti à parts égales entre toutes les personnes (al. 2).</w:t>
      </w:r>
    </w:p>
    <w:p>
      <w:r>
        <w:rPr>
          <w:b/>
        </w:rPr>
        <w:t>E. 7.5.1</w:t>
      </w:r>
    </w:p>
    <w:p>
      <w:r>
        <w:t>L'art. 16c al. 1 OPC-AVS/AI dont la légalité n'est pas contestable (ATF 127 V 10), ne fait pas directement référence à la notion de domicile au sens du droit civil. Par l'emploi du terme « occupés » (en allemand : « bewohnt » ; en italien :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Dans ces circonstances, le dépôt de papiers ou le domicile fiscal, comme indices formels, ne peuvent créer qu'une présomption de fait que d'autres indices peuvent permettre de renverser (arrêt du Tribunal fédéral 9C_807/2009 du 24 mars 2010 consid. 3.4).</w:t>
      </w:r>
    </w:p>
    <w:p>
      <w:r>
        <w:rPr>
          <w:b/>
        </w:rPr>
        <w:t>E. 7.5.2</w:t>
      </w:r>
    </w:p>
    <w:p>
      <w:r>
        <w:t>Selon la jurisprudence, le critère est de savoir s'il y a logement commun, indépendamment du fait qu’il y ait bail commun ou que l’un des occupants paie seul le loyer (ATF 127 V 17 consid. 6b ; arrêt du Tribunal fédéral P.53/01 du 13 mars 2002 consid. 3a/aa). Aussi, lorsque plusieurs personnes occupent le même foyer ou font ménage commun, il y a lieu à partage à parts égales du loyer qui est pris en compte dans le calcul des prestations complémentaires (arrêt du Tribunal fédéral P.66/04 du 16 août 2005 consid. 2).</w:t>
      </w:r>
    </w:p>
    <w:p>
      <w:r>
        <w:rPr>
          <w:b/>
        </w:rPr>
        <w:t>E. 8.1</w:t>
      </w:r>
    </w:p>
    <w:p>
      <w:r>
        <w:t>Sur le plan cantonal, ont droit aux prestations complémentaires cantonales les personnes qui remplissent les conditions de l’art. 2 LPCC (que sont notamment la perception d'une rente de l'assurance-vieillesse et survivants [al. 1 let. b]) et dont le revenu annuel déterminant n'atteint pas le revenu minimum cantonal d'aide sociale applicable (art. 4 LPCC).</w:t>
      </w:r>
    </w:p>
    <w:p>
      <w:r>
        <w:rPr>
          <w:b/>
        </w:rPr>
        <w:t>E. 8.2</w:t>
      </w:r>
    </w:p>
    <w:p>
      <w:r>
        <w:t>Le montant annuel de la prestation complémentaire cantonale correspond à la part des dépenses reconnues qui excède le revenu annuel déterminant de l'intéressé (art. 15 al. 1 LPCC).</w:t>
      </w:r>
    </w:p>
    <w:p>
      <w:r>
        <w:rPr>
          <w:b/>
        </w:rPr>
        <w:t>E. 8.3</w:t>
      </w:r>
    </w:p>
    <w:p>
      <w:r>
        <w:t>Selon l'art. 5 LPCC, le revenu déterminant est calculé conformément aux règles fixées dans la loi fédérale et ses dispositions d'exécution, moyennant les adaptations énumérées aux lettres a à c (non pertinentes ici).</w:t>
      </w:r>
    </w:p>
    <w:p>
      <w:r>
        <w:rPr>
          <w:b/>
        </w:rPr>
        <w:t>E. 8.4</w:t>
      </w:r>
    </w:p>
    <w:p>
      <w:r>
        <w:t>À teneur de l'art. 6 LPCC, les dépenses reconnues sont celles énumérées par la LPC et ses dispositions d'exécution, à l'exclusion du montant destiné à la couverture des besoins vitaux, remplacé par le montant destiné à garantir le revenu minimum cantonal d'aide sociale défini à l'art. 3 LPCC.</w:t>
      </w:r>
    </w:p>
    <w:p>
      <w:r>
        <w:rPr>
          <w:b/>
        </w:rPr>
        <w:t>E. 9.1</w:t>
      </w:r>
    </w:p>
    <w:p>
      <w:r>
        <w:t>Selon l’art. 25 al. 1 OPC-AVS/AI, la prestation complémentaire annuelle doit être augmentée, réduite ou supprimée : lors de chaque changement survenant au sein d’une communauté de personnes comprises dans le calcul de la prestation</w:t>
      </w:r>
    </w:p>
    <w:p>
      <w:r>
        <w:t>A/4067/2022 - 10/19 - complémentaire annuelle (let. a) ; lors d’un contrôle périodique, si l’on constate un changement des dépenses reconnues, des revenus déterminants et de la fortune; on pourra renoncer à rectifier la prestation complémentaire annuelle, lorsque la modification est inférieure à CHF 120.- par an (let. d).</w:t>
      </w:r>
    </w:p>
    <w:p>
      <w:r>
        <w:rPr>
          <w:b/>
        </w:rPr>
        <w:t>E. 9.2</w:t>
      </w:r>
    </w:p>
    <w:p>
      <w:r>
        <w:t>Selon l’art. 25 al. 2 OPC-AVS/AI, la nouvelle décision doit porter effet dès la date suivante : dans les cas prévus par l’al. 1 let. a et b,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 (let. a)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w:t>
      </w:r>
    </w:p>
    <w:p>
      <w:r>
        <w:rPr>
          <w:b/>
        </w:rPr>
        <w:t>E. 10.1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10.2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w:t>
      </w:r>
    </w:p>
    <w:p>
      <w:r>
        <w:t>A/4067/2022 - 11/19 - droit des assurances sociales, un principe selon lequel l'administration ou le juge devrait statuer, dans le doute, en faveur de l'assuré (ATF 126 V 319 consid. 5a).</w:t>
      </w:r>
    </w:p>
    <w:p>
      <w:r>
        <w:rPr>
          <w:b/>
        </w:rPr>
        <w:t>E. 11.1</w:t>
      </w:r>
    </w:p>
    <w:p>
      <w:r>
        <w:t>En l'espèce, les données officielles (extrait du registre de l'OCPM) attestent la domiciliation du fils cadet de la recourante à l'adresse de cette dernière entre le 19 août 2013 et le 31 mars 2019. Certes, elles ne constituent pas en soi une preuve de la cohabitation effective de la mère et du fils au cours de la période considérée, mais un indice qui peut être infirmé en rapportant la preuve contraire selon les règles qui s'appliquent dans le domaine des assurances sociales (arrêt du Tribunal fédéral 9C_606/2020 du 6 septembre 2021 consid. 6.1). Dans sa lettre du 9 décembre 2013, la recourante a annoncé à sa régie le retour de son fils cadet, qui avait séjourné à l'étranger pendant dix-sept ans, à son domicile, en précisant qu'il « élisait domicile » avec elle pour une durée indéterminée afin qu'il puisse s'établir à Genève. En réponse, la régie a pris bonne note que le fils habitait temporairement avec la recourante (courrier de la régie du 12 décembre 2013). Selon la recourante et son fils, cette élection de domicile avait cependant pour unique but de lui permettre de recevoir toute correspondance qui lui était destinée (procès-verbal de comparution personnelle du 11 février 2021 ; courrier du fils du 31 mars 2019), sans qu'ils n'aient cohabité. Ceci étant, les pièces fournies ne rendent pas hautement vraisemblable l'absence de cohabitation. Peu importe que la recourante, à ses dires, payât l'intégralité du loyer. Les factures d'électricité relatives à la période du 25 septembre 2015 au 21 septembre 2020 ne sont d'aucun secours à la recourante. Sa consommation d'électricité annuelle a été de 1'808 kWh du 25 septembre 2015 au 22 septembre 2016, 1'541 kWh du 23 septembre 2016 au 25 septembre 2017, 1'137 kWh du 26 septembre 2017 au 24 septembre 2018, 979 kWh du 25 septembre 2018 au 20 septembre 2019, et 1'131 kWh du 21 septembre 2019 au 21 septembre 2020. Force est de constater que la consommation d'électricité annuelle durant les périodes où, selon le registre de l'OCPM, le fils cadet était chez elle, a été supérieure à celle pendant lesquelles, d'après ce même registre, il n'y habitait plus (dès le 1er avril 2019). Lors de l'audience du 11 février 2021, la recourante a déclaré que, parce qu’elle était atteinte d'un cancer, ses fils, qui venaient régulièrement lui rendre visite, passaient une ou deux nuits chez elle pour l'assister (voir également dans ce sens le courrier du fils aîné du 25 février 2023). Dans un rapport du 25 février 2021, l'oncologue traitante a mentionné que les deux enfants de la recourante avaient été présents à ses côtés du 29 mai 2018 au 4 février 2019. Outre le fait que cette période ne constitue qu'une part infime de celle litigieuse (du 1er septembre 2013 au 31 mars 2019), invitée à produire tout document attestant que son fils cadet avait effectivement habité chez son ancienne compagne et des amis (procès-verbal</w:t>
      </w:r>
    </w:p>
    <w:p>
      <w:r>
        <w:t>A/4067/2022 - 12/19 - d'audience du 11 février 2021 ; courrier du fils du 31 mars 2019 ; procès-verbal d'audience du 16 février 2023), la recourante n'a produit aucune pièce corroborant ses allégations. Dans sa lettre du 22 février 2021, le fils aîné s'est contenté d'affirmer que son frère n'avait pas habité chez leur mère, sans indiquer le prénom des personnes chez qui celui-ci aurait logé, ni même l'adresse (approximative) de celles-ci. Or, il est peu probable que le frère cadet n'ait pas communiqué à son frère aîné ces informations. Dans sa lettre du 23 février 2023, le fils cadet s'est borné à faire valoir que la demande de renseignements de la Cour portait atteinte à la vie privée de ses amis, oubliant ainsi l'intérêt de sa mère à faire établir les faits qu’elle allègue par la production de pièces par des tiers, voire leur témoignage (art. 27 et 28 LPA), étant souligné qu'il existe un intérêt public prépondérant à empêcher le versement de prestations d'assurances sociales indues. Dans ces circonstances, c'est à juste titre que l'intimé a considéré, dans la décision entreprise, que le fils cadet de la recourante avait effectivement partagé le logement de la recourante et partagé de la même manière le loyer dans le calcul des prestations complémentaires pour la période du 1er septembre 2013 au 31 mars 2019. On rappellera à la recourante qu’en cas d'indices donnant à penser que son fils a cohabité avec elle, il lui appartient d'apporter la preuve contraire au degré de la vraisemblance requis en matière d'assurances sociales (dans ce sens également : ATAS/1/2016 du 4 janvier 2016 consid. 8), ce qu'elle n'a pas fait en l’occurrence.</w:t>
      </w:r>
    </w:p>
    <w:p>
      <w:r>
        <w:rPr>
          <w:b/>
        </w:rPr>
        <w:t>E. 11.2</w:t>
      </w:r>
    </w:p>
    <w:p>
      <w:r>
        <w:t>La recourante invoque également sa situation financière difficile et sa bonne foi (absence de négligence grave du fait qu'elle aurait agi en fonction des renseignements qu'elle aurait obtenus de l'OCPM pour ce qui est de l'élection de domicile de son fils chez elle). Il s'agit là de deux conditions concernant la remise de l'obligation de restituer, laquelle ne pourra être traitée qu'une fois la décision de restitution entrée en force (cf. art. 4 al. 4 de l'ordonnance sur la partie générale du droit des assurances sociales du 11 septembre 2002 [OPGA - RS 830.11]). À ce stade, il n'est donc pas possible d'examiner ces deux conditions (cf. arrêt du Tribunal fédéral 8C_118/2022 du 9 août 2022 consid. 4.3.2).</w:t>
      </w:r>
    </w:p>
    <w:p>
      <w:r>
        <w:rPr>
          <w:b/>
        </w:rPr>
        <w:t>E. 11.3</w:t>
      </w:r>
    </w:p>
    <w:p>
      <w:r>
        <w:t>En ce qui concerne les subsides d'assurance-maladie, sous réserve des exceptions prévues par l'art. 27 de la loi d’application de la loi fédérale sur l’assurance-maladie du 29 mai 1997 (LaLAMal - J 3 05), non réalisées in casu, ceux-ci sont destinés notamment aux bénéficiaires de prestations fédérales et/ou cantonales complémentaires à l'AVS/AI accordées par le SPC (cf. art. 20 al. 1 let. b et 22 al. 7 LaLAMal). La recourante n'ayant pas droit aux prestations complémentaires cantonales durant les années 2016 à 2019, c'est à tort qu'elle a bénéficié des subsides d'assurance- maladie pendant ces années.</w:t>
      </w:r>
    </w:p>
    <w:p>
      <w:r>
        <w:t>A/4067/2022 - 13/19 -</w:t>
      </w:r>
    </w:p>
    <w:p>
      <w:r>
        <w:rPr>
          <w:b/>
        </w:rPr>
        <w:t>E. 11.4</w:t>
      </w:r>
    </w:p>
    <w:p>
      <w:r>
        <w:t>Au vu de ce qui précède, par appréciation anticipée des preuves (ATF 122 II 464 consid. 4a), il n'est pas nécessaire d'entendre les fils de la recourante, qui se sont déjà exprimés par écrit.</w:t>
      </w:r>
    </w:p>
    <w:p>
      <w:r>
        <w:rPr>
          <w:b/>
        </w:rPr>
        <w:t>E. 12</w:t>
      </w:r>
    </w:p>
    <w:p>
      <w:r>
        <w:t>Reste à déterminer si, comme le prétend la recourante, le droit de réclamer la restitution des prestations versées à tort du 1er octobre 2012 au 31 mars 2019 est périmé pour la période antérieure au 28 octobre 2015.</w:t>
      </w:r>
    </w:p>
    <w:p>
      <w:r>
        <w:rPr>
          <w:b/>
        </w:rPr>
        <w:t>E. 13.1</w:t>
      </w:r>
    </w:p>
    <w:p>
      <w:r>
        <w:t>S'agissant des prestations complémentaires fédérales, selon l'art. 25 al. 1 1ère phrase LPGA, en relation avec l'art. 2 al. 1 let. a OPGA, les prestations indûment touchées doivent être restituées par le bénéficiaire ou par ses héritiers.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ATF 138 V 426 consid. 5.2.1 et les références ; ATF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ATF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9C_398/2021 du 22 février 2022 consid. 5.1).</w:t>
      </w:r>
    </w:p>
    <w:p>
      <w:r>
        <w:rPr>
          <w:b/>
        </w:rPr>
        <w:t>E. 13.2</w:t>
      </w:r>
    </w:p>
    <w:p>
      <w:r>
        <w:t>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w:t>
      </w:r>
    </w:p>
    <w:p>
      <w:r>
        <w:t>A/4067/2022 - 14/19 - (RPCC-AVS/AI - J 4 25.03) précise que le SPC doit demander la restitution des prestations indûment touchées au bénéficiaire, à ses héritiers ou aux autres personnes mentionnées à l'art. 2 OPGA appliqué par analogie (al. 1).</w:t>
      </w:r>
    </w:p>
    <w:p>
      <w:r>
        <w:rPr>
          <w:b/>
        </w:rPr>
        <w:t>E. 13.3</w:t>
      </w:r>
    </w:p>
    <w:p>
      <w:r>
        <w:t>Conformément à l’art. 33 LaLAMal, les subsides indûment touchés doivent être restitués en appliquant par analogie l'article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w:t>
      </w:r>
    </w:p>
    <w:p>
      <w:r>
        <w:rPr>
          <w:b/>
        </w:rPr>
        <w:t>E. 14.1</w:t>
      </w:r>
    </w:p>
    <w:p>
      <w:r>
        <w:t>En vertu de l'art. 25 al. 2 1ère phrase LPGA (dans sa teneur en vigueur jusqu'au 31 décembre 2020 ici déterminante),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Le délai de péremption absolu de cinq ans commence à courir à la date du versement effectif de la prestation, et non à la date à laquelle elle aurait dû être fournie (ATF 112 V 180 consid. 4a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w:t>
      </w:r>
    </w:p>
    <w:p>
      <w:r>
        <w:rPr>
          <w:b/>
        </w:rPr>
        <w:t>E. 14.2</w:t>
      </w:r>
    </w:p>
    <w:p>
      <w:r>
        <w:t>Selon l'art. 28 LPCC, les restitutions prévues à l'art. 24 LPCC peuvent être demandées par l'État dans un délai d'une année à compter de la connaissance du fait qui ouvre le droit à la restitution, mais au plus tard cinq ans après le versement de la prestation.</w:t>
      </w:r>
    </w:p>
    <w:p>
      <w:r>
        <w:t>A/4067/2022 - 15/19 - Selon la volonté du législateur genevois, l’art. 28 LPCC doit être interprété de la même manière que l’art. 25 al. 2 LPGA (ATAS/414/2021 du 5 mai 2021 consid. 14b).</w:t>
      </w:r>
    </w:p>
    <w:p>
      <w:r>
        <w:rPr>
          <w:b/>
        </w:rPr>
        <w:t>E. 14.3</w:t>
      </w:r>
    </w:p>
    <w:p>
      <w:r>
        <w:t>En vertu de l'art. 25 al. 2 2ème phrase LPGA, si la créance naît d'un acte punissable pour lequel le droit pénal prévoit un délai de prescription plus long, celui-ci est déterminant. Selon le Tribunal fédéral, le délai pénal plus long remplace tant le délai relatif que le délai absolu (ATF 140 IV 206 consid. 6.2 ; arrêt du Tribunal fédéral 9C_97/2020 du 10 juin 2020 consid. 2.2 ; arrêt du Tribunal fédéral 8C_592/2007 du 20 août 2008 consid. 5.3 ; ATAS/754/2022 du 29 août 2022 consid. 6.3.1). Pour que le délai de prescription plus long prévu par le droit pénal s'applique, il n'est pas nécessaire que l'auteur de l'infraction ait été condamné (ATF 140 IV 206 consid. 6.2 et les références ; arrêt du Tribunal fédéral 9C_97/2020 du 10 juin 2020 consid. 2.2). 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arrêt du Tribunal fédéral 9C_97/2020 du 10 juin 2020 consid. 2.2). Dans un tel cas, les exigences constitutionnelles en matière d'appréciation des preuves en procédure pénale s'appliquent (ATF 138 V 74 consid. 7 ; arrêt du Tribunal fédéral 8C_592/2007 du 10 août 2008 consid. 5.3).</w:t>
      </w:r>
    </w:p>
    <w:p>
      <w:r>
        <w:rPr>
          <w:b/>
        </w:rPr>
        <w:t>E. 14.3.1</w:t>
      </w:r>
    </w:p>
    <w:p>
      <w:r>
        <w:t>En matière de prestations complémentaires, ce sont principalement les art. 31 LPC (manquement à l’obligation de communiquer), 146 (escroquerie) et 148a (obtention illicite de prestations d’une assurance sociale ou de l’aide sociale)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148a CP (en vigueur depuis le 1er octobre 2016), qui vise l’obtention illicite de prestations d’une assurance sociale ou de l’aide sociale, il prévoit une peine privative de liberté d’un an au plus ou d’une peine pécuniaire (al. 1). Dans les cas de peu de gravité, la peine est l’amende (al. 2). Selon l'art. 97 al. 1 CP (art. 70 aCP dans sa teneur entrée en vigueur depuis le 1er octobre 2002), l'action pénale se prescrit par 30 ans si l'infraction était passible d'une peine privative de liberté à vie, par quinze ans si elle était passible d'une</w:t>
      </w:r>
    </w:p>
    <w:p>
      <w:r>
        <w:t>A/4067/2022 - 16/19 - peine privative de liberté de plus de trois ans, et de sept ans si elle était passible d'une autre peine. Le délai de prescription de l'action pénale pour une infraction telle que celle décrite aux art. 31 LPC et 148a CP est donc de sept ans, celui de l’infraction visée à l'art. 146 al. 1 CP de quinze ans. Par le biais des dispositions pénales figurant dans les diverses lois d'assurances sociales (voir également l'art. 87 al. 5 LAVS ainsi que les art. 70 LAI, 25 LAPG [RS 834.1] et 23 de la loi fédérale du 24 mars 2006 sur les allocations familiales [LAFam - RS 836. 2],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(ATF 140 IV 206 consid. 6.3.2.2 et la référence).</w:t>
      </w:r>
    </w:p>
    <w:p>
      <w:r>
        <w:rPr>
          <w:b/>
        </w:rPr>
        <w:t>E. 14.3.2</w:t>
      </w:r>
    </w:p>
    <w:p>
      <w:r>
        <w:t>Conformément à l'art. 31 al. 1 let. d LPC, est puni, à moins qu'il ne s'agisse d'un crime ou d'un délit frappé d'une peine plus élevée par le code pénal, d'une peine pécuniaire n'excédant pas 180 jours-amende celui qui manque à son obligation de communiquer au sens de l'art. 31 al. 1 LPGA. Cet article est applicable à titre de droit cantonal supplétif (cf. art. 45 LPCC). En vertu de l'art. 31 LPGA, intitulé avis obligatoire en cas de modification des circonstances, l'ayant droit, ses proches ou les tiers auxquels une prestation est versée sont tenus de communiquer à l'assureur ou, selon les cas, à l'organe compétent toute modification importante des circonstances déterminantes pour l'octroi d'une prestation (al. 1). L'art. 24 OPC-AVS/AI dispose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w:t>
      </w:r>
    </w:p>
    <w:p>
      <w:r>
        <w:t>A/4067/2022 - 17/19 - L'infraction est intentionnelle, le dol éventuel étant suffisant (ATF 140 IV 206 consid. 6.5).</w:t>
      </w:r>
    </w:p>
    <w:p>
      <w:r>
        <w:rPr>
          <w:b/>
        </w:rPr>
        <w:t>E. 15.1</w:t>
      </w:r>
    </w:p>
    <w:p>
      <w:r>
        <w:t>En l'espèce, la recourante perçoit une rente de vieillesse italienne, à tout le moins depuis octobre 2012, créditée sur son compte auprès de la BCGE (dossier intimé pièces 67, 75 et 76), ce qu'elle ne conteste pas. Pour les motifs exposés supra, il y a lieu de retenir qu'elle a cohabité avec son fils du 19 août 2013 au 31 mars 2019. Or, c'est seulement, dans le cadre de la révision du dossier initiée en mars 2019, que la recourante a annoncé être au bénéfice d'une rente de vieillesse étrangère, non déclarée auparavant, et l'intimé, en consultant le registre de l'OCPM, a découvert la domiciliation de son fils durant la période en cause (sans que celle-ci n'ait pu établir au degré de la vraisemblance prépondérante requise dans le domaine des assurances sociales que la réalité serait différente). Ces faits nouveaux, découverts après coup, de nature à modifier le calcul des prestations, justifient, avec effet ex tunc, la révision des décisions précédemment rendues d'octroi de prestations complémentaires. La non-déclaration de ces faits a pour conséquence que les conditions objectives de l'infraction réprimée à l'art. 31 al. 1 let. d LPC sont réalisées. La recourante ne pouvait pas ignorer que ces éléments étaient pertinents pour le calcul des prestations complémentaires, puisque l'intimé lui adressait chaque année une communication par laquelle il attirait son attention sur son devoir de signaler tout changement dans sa situation personnelle et financière, dont notamment l'existence de « rentes étrangères » et toute « cohabitation avec un tiers ». La recourante, consciente du fait qu'elle détenait des informations qu'elle avait l'obligation de transmettre à l'intimé, ne s'est toutefois pas manifestée à réception des communications annuelles et des décisions qui lui étaient notifiées chaque année l'invitant à contrôler les montants y figurant. Elle a donc maintenu l'intimé dans l'erreur, et commis un acte par dol éventuel (cf. ATF 140 IV 2016 consid. 6.5). Elle réalise ainsi les conditions subjectives de l'infraction réprimée à l'art. 31 al. 1 let. d LPC. Partant, le délai de péremption de plus longue durée prévu par le droit pénal, soit en l'occurrence sept ans (qui est supérieur tant au délai relatif qu'au délai absolu prévu par l'art. 25 al. 2 1ère phrase LPGA), est applicable. La demande en restitution du 29 août 2019 portant sur les prestations complémentaires cantonales versées à tort du 1er octobre 2012 au 31 mars 2019, ainsi que sur les subsides de l'assurance-maladie indûment perçus pour les années 2016 à 2019, soit au total un montant de CHF 28'020.-, n'est donc pas périmée pour la période courant du 1er octobre 2012 au 31 mars 2019.</w:t>
      </w:r>
    </w:p>
    <w:p>
      <w:r>
        <w:t>A/4067/2022 - 18/19 - Contrairement à ce que prétend la recourante, le délai de péremption a été valablement sauvegardé par la décision initiale de restitution du 29 août 2019 (cf. arrêt du Tribunal fédéral 8C_366/2022 du 19 octobre 2022 consid. 5.3.1 et 5.3.2). Pour le respect de ce délai, le moment où l'intimé a rendu la décision sur opposition n'est pas déterminant (dans ce sens : ATAS/754/2022 du 29 août 2022 consid. 6.4).</w:t>
      </w:r>
    </w:p>
    <w:p>
      <w:r>
        <w:rPr>
          <w:b/>
        </w:rPr>
        <w:t>E. 16</w:t>
      </w:r>
    </w:p>
    <w:p>
      <w:r>
        <w:t>Au vu de ce qui précède, le recours est rejeté. La recourante, qui succombe, n'a pas droit à des dépens (art. 61 let. g LPGA a contrario). Pour le surplus, la procédure est gratuite (art. 61 let. fbis LPGA a contrario).</w:t>
      </w:r>
    </w:p>
    <w:p>
      <w:r>
        <w:t>A/4067/2022 - 19/19 -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