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ATAS/686/2019 vom 29. Juli 2019</w:t>
      </w:r>
    </w:p>
    <w:p>
      <w:r>
        <w:t>GE Cour de justice, 2019-07-29, FR</w:t>
      </w:r>
    </w:p>
    <w:p>
      <w:r>
        <w:rPr>
          <w:b/>
        </w:rPr>
        <w:t xml:space="preserve">Quelle: </w:t>
      </w:r>
      <w:r>
        <w:t>https://mcp.opencaselaw.ch/entscheid/ge_gerichte_ATAS_686_2019</w:t>
      </w:r>
    </w:p>
    <w:p>
      <w:r>
        <w:t>FR: GE_GERICHTE ATAS/686/2019 du 29 juillet 2019</w:t>
      </w:r>
    </w:p>
    <w:p>
      <w:r>
        <w:t>IT: GE_GERICHTE ATAS/686/2019 del 29 luglio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11'922.- (CHF 11'912.- pour la période du 1er août 2013 au 30 avril 2017 et CHF 10.- pour la période du 1er novembre 2017 au 31 août 2018) ainsi que sur le calcul des PCF et PCC de mai à octobre 2017 et dès le 1er septembre 2018. A cet égard, l’intimé a cependant rendu une nouvelle décision le 18 février 2019 qui recalcule le droit aux prestations du recourant du 1er octobre 2017 au 28 février 2019 et dès le 1er mars 2019, soit en partie sur une période objet de la décision sur opposition litigieuse ; en particulier elle opère un nouveau calcul dès le 1er février 2018. Cette décision fait l’objet d’une opposition. Toutefois, la suppression du gain</w:t>
      </w:r>
    </w:p>
    <w:p>
      <w:r>
        <w:t>A/667/2019 - 7/14 - potentiel de l’épouse du recourant dès le 1er mars 2018 n’est pas contestée. Le grief du recourant portant sur cet aspect n’a donc plus d’objet. Reste litigieuse, l’estimation du bien immobilier du recourant sis au Portugal (valeur vénale et locative), étant relevé que l’intimé a admis, dans son écriture du 4 juin 2019, que des frais d’entretien de l’immeuble à raison de 20 % de la valeur locative brute pouvaient être pris en considération.</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w:t>
      </w:r>
    </w:p>
    <w:p>
      <w:r>
        <w:rPr>
          <w:b/>
        </w:rPr>
        <w:t>E. 5</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Dans ses commentaires concernant la modification de l'OPC-AVS/AI entrée en vigueur le 1er janvier 1992, l’Office fédéral des assurances sociales (ci-après :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w:t>
      </w:r>
    </w:p>
    <w:p>
      <w:r>
        <w:t>A/667/2019 - 8/14 -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Pour les immeubles sis à l’étranger, on peut se fonder sur une estimation établie à l’étranger s’il n’est pas raisonnablement possible de procéder à une autre estimation (arrêt du Tribunal fédéral 9C_540/2009 du 17 septembre 2009 ; ch. 3444.03 des directives de l’OFAS concernant les prestations complémentaires à l’AVS et l’AI, état au 1er janvier 2017 [DPC]).</w:t>
      </w:r>
    </w:p>
    <w:p>
      <w:r>
        <w:rPr>
          <w:b/>
        </w:rPr>
        <w:t>E. 6</w:t>
      </w:r>
    </w:p>
    <w:p>
      <w:r>
        <w:t>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 si l’âge du bâtiment au début de la période fiscale est inférieur ou égal à 10 ans, et à 20 %,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7</w:t>
      </w:r>
    </w:p>
    <w:p>
      <w:r>
        <w:t>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w:t>
      </w:r>
    </w:p>
    <w:p>
      <w:r>
        <w:t>A/667/2019 - 9/14 - fortune ne constitue pas un dessaisissement lorsqu'il est établi qu'il existe une corrélation directe entre cette renonciation et une contre-prestation considérée comme équivalente (arrêt du Tribunal fédéral 9C_36/2014 du 7 avril 2014 consid. 3.1). S’agissant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ATAS/131/2017; ATAS/237/2012, ATAS/43/2010, ATAS/732/2009; ATAS/399/2007 ; ATAS 1040/2005, confirmé sur recours par l’arrêt du Tribunal fédéral P 57/05 du 29 août 2006). Enfin, la chambre de céans a également considéré qu’un taux de 5% était admissible (ATAS/1127/2017 du 11 décembre 2017).</w:t>
      </w:r>
    </w:p>
    <w:p>
      <w:r>
        <w:rPr>
          <w:b/>
        </w:rPr>
        <w:t>E. 8</w:t>
      </w:r>
    </w:p>
    <w:p>
      <w:r>
        <w:t>S’agissant du taux de conversion applicable pour le calcul de la fortune immobilière et de la valeur locative y relative, il y a lieu d’appliquer les directives concernant les prestations complémentaires à l’AVS et à l’AI (DPC) de l’OFAS. Antérieurement au 1er janvier 2013, le chiffre 2087.1 des DPC prévoyait que pour les rentes et pensions versées en devises d’Etats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Le cours de conversion applicable était le cours déterminant du début de l’année correspondante.</w:t>
      </w:r>
    </w:p>
    <w:p>
      <w:r>
        <w:t>A/667/2019 - 10/14 - Dès le 1er janvier 2013, le cours de conversion correspond au cours du jour fixé par la Banque centrale européenne (du 1er janvier 2013 au 26 novembre 2017 le dernier cours du jour disponible du mois qui précède immédiatement le début du droit à la prestation et dès le 27 novembre 2017 le premier cours de ce jour). Bien que ces directives concernent les rentes servies, elles sont applicables mutatis mutandis aux autres éléments composant les revenus déterminants tels que la fortune immobilière.</w:t>
      </w:r>
    </w:p>
    <w:p>
      <w:r>
        <w:rPr>
          <w:b/>
        </w:rPr>
        <w:t>E. 9</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de 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10</w:t>
      </w:r>
    </w:p>
    <w:p>
      <w:r>
        <w:t>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rétroactif - et, partant, justifier la répétition de prestations déjà perçues - lorsque sont réalisées les conditions qui président à la révocation, par son auteur, d'une décision administrative.</w:t>
      </w:r>
    </w:p>
    <w:p>
      <w:r>
        <w:t>A/667/2019 - 11/14 -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 SVR 1995 IV n° 58 p. 165; not. ATAS/191/2016). Aux termes de l'art. 97 al. 1 CP, l’action pénale se prescrit, dans ces cas, par sept ans.</w:t>
      </w:r>
    </w:p>
    <w:p>
      <w:r>
        <w:rPr>
          <w:b/>
        </w:rPr>
        <w:t>E. 11</w:t>
      </w:r>
    </w:p>
    <w:p>
      <w:r>
        <w:t>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13</w:t>
      </w:r>
    </w:p>
    <w:p>
      <w:r>
        <w:t>a. En l’occurrence, la demande de restitution notifiée le 11 avril 2017, après que l’intimé ait été informé le 30 novembre 2016 par le recourant de l’existence d’un bien immobilier au Portugal, respecte les délais de péremption précités. b. L’intimé s’est fondé sur l’expertise du bureau B______ du 17 février 2017 pour déterminer la valeur vénale et la valeur locative du bien immobilier du recourant sis au Portugal, soit une valeur vénale de 40'000 EUR et une valeur locative mensuelle de 235 EUR. Cette manière de procéder ne peut qu’être confirmée, étant relevé que, comme souligné par l’intimé, aucun motif ne permet de s’écarter de cette évaluation ; en particulier le rapport d’évaluation subséquent du 16 février 2018 ne comporte aucune critique à l’égard de celui du 17 février 2017 ; qui plus est, il a été requis en cours de procédure, alors que l’intimé avait rendu sa première décision du 11 avril 2017, recalculant le droit aux prestations du recourant depuis le 1er août 2013, en prenant en compte le bien immobilier en cause ; enfin, on peut constater que le</w:t>
      </w:r>
    </w:p>
    <w:p>
      <w:r>
        <w:t>A/667/2019 - 12/14 - rapport du 16 février 2018 mentionne, tout comme celui du 17 février 2017, des caractéristiques identiques de l’appartement évalué, soit un état du logement raisonnable et des dommages causés par l’humidité, l’appartement étant situé en sous-sol (rapport du 17 février 2017 p. 7 et rapport du 16 février 2018 p. 5). Par ailleurs, l’estimation du 17 février 2017 tient compte du marché immobilier portugais dont le rapport spécifie qu’il est en crise, que la valeur du marché a diminué de façon continue depuis 2008 jusqu’à 2016, qu’en 2016, il a été possible d’observer une nouvelle augmentation des valeurs immobilières et que malgré le fait qu’une certaine fluctuation pourrait se produire l’année suivante, il n’est pas nécessaire d’effectuer un réajustement significatif à la valeur du marché (rapport du</w:t>
      </w:r>
    </w:p>
    <w:p>
      <w:r>
        <w:rPr>
          <w:b/>
        </w:rPr>
        <w:t>E. 17</w:t>
      </w:r>
    </w:p>
    <w:p>
      <w:r>
        <w:t>février 2017 p. 11) ; le montant de 40'000 EUR est ainsi considéré comme raisonnable en date du 17 février 2017. Il n’y a donc pas de motif de prendre en compte le rapport d’évaluation du 16 février 2018 plutôt que celui du 17 février 2017. En revanche, l’évaluation à laquelle a procédé le bureau B______ se rapporte spécifiquement à l’année 2017, le rapport de celui-ci indiquant que dès 2016 le marché a présenté une augmentation des valeurs immobilières. Dans ces conditions, le montant de 40'000 EUR, fixé en 2017, ne saurait être repris tel quel pour la période du 1er août 2013 au 31 décembre 2016, ce d’autant que le recourant a acquis son bien le 26 juillet 2013 pour le montant, admis par l’intimé, de 25'000 EUR. Or, la valeur vénale est considérée comme la valeur qu’atteindrait un immeuble au cours de transactions normales, soit la valeur que l’immeuble représente véritablement sur le marché, de sorte que pour la période du 1er août 2013 au 31 décembre 2016, aucun élément ne permet de s’écarter de la valeur d’achat du bien immobilier. Quant à la valeur locative, elle peut être fixée à 1'125 EUR (4,5 % x 25'000 EUR) pour la période 2013 - 2016 et à 2’820 EUR dès 2017, étant relevé qu’il convient encore de déduire 20 % de frais d’entretien forfaitaires, comme admis par l’intimé. c. S’agissant du taux de conversion applicable, dès le 1er janvier 2013, c’est celui correspondant au cours du jour fixé par la Banque Centrale Européenne qui est pertinent et non pas, comme requis par le recourant, celui publié dans le journal officiel de l’Union Européenne. L’intimé a exposé dans la décision litigieuse les taux de change appliqués de 2013 à 2017 et aucun élément ne permet de s’en écarter. 14. Le recourant a requis son audition. Outre que l’art. 29 al. 2 de la Constitution fédérale de la Confédération suisse du 18 avril 1999 (Cst - RS 101) ne confère pas le droit d’être entendu oralement (ATF 130 II 425), la chambre de céans estime que les preuves administrées sont en l’occurrence suffisantes pour se prononcer sur le fond du litige, sans audition du recourant. 15. Au vu de ce qui précède, le recours sera partiellement admis et la décision litigieuse annulée.</w:t>
      </w:r>
    </w:p>
    <w:p>
      <w:r>
        <w:t>A/667/2019 - 13/14 - La cause sera renvoyée à l’intimé pour nouveau calcul des prestations depuis le 1er août 2013, et, cas échéant, des montants dus en restitution en prenant en compte une valeur vénale et locative de l’immeuble du recourant dans le sens précité. 16.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 Pour le surplus, la procédure est gratuite.</w:t>
      </w:r>
    </w:p>
    <w:p>
      <w:r>
        <w:t>A/667/2019 - 14/14 -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