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ATAS/686/2014 vom 4. Juni 2014</w:t>
      </w:r>
    </w:p>
    <w:p>
      <w:r>
        <w:t>GE Cour de justice, 2014-06-04, FR</w:t>
      </w:r>
    </w:p>
    <w:p>
      <w:r>
        <w:rPr>
          <w:b/>
        </w:rPr>
        <w:t xml:space="preserve">Quelle: </w:t>
      </w:r>
      <w:r>
        <w:t>https://mcp.opencaselaw.ch/entscheid/ge_gerichte_ATAS_686_2014</w:t>
      </w:r>
    </w:p>
    <w:p>
      <w:r>
        <w:t>FR: GE_GERICHTE ATAS/686/2014 du 4 juin 2014</w:t>
      </w:r>
    </w:p>
    <w:p>
      <w:r>
        <w:t>IT: GE_GERICHTE ATAS/686/2014 del 4 giugno 2014</w:t>
      </w:r>
    </w:p>
    <w:p>
      <w:pPr>
        <w:pStyle w:val="Heading2"/>
      </w:pPr>
      <w:r>
        <w:t>Erwägungen</w:t>
      </w:r>
    </w:p>
    <w:p>
      <w:r>
        <w:rPr>
          <w:b/>
        </w:rPr>
        <w:t>E. 10</w:t>
      </w:r>
    </w:p>
    <w:p>
      <w:r>
        <w:t>Il s'avère cependant que l'instruction était incomplète à l’époque, dans la mesure où le refus de prestations était fondé sur le seul avis du Dr C______ qui n'avait pas examiné le recourant et qui de surcroît n'est pas psychiatre. En raison de l'examen très sommaire de la première demande, se pose la question de savoir s'il sied de réviser la première décision de l'intimé par la voie de la révision procédurale. a. Les décisions et les décisions sur opposition formellement passées en force sont soumises à révision si l’assuré ou l’assureur découvre subséquemment des faits nouveaux importants ou trouve des moyens de preuve qui ne pouvaient être produits auparavant (art. 53 al. 1 LPGA, révision dite procédurale), susceptibles de conduire à une appréciation juridique différente. La notion de faits ou moyens de preuve nouveaux s'apprécie de la même manière en cas de révision (procédurale) d'une décision administrative (art. 53 al. 1 LPGA), de révision d'un jugement cantonal (art. 61 let. i LPGA) ou de révision d'un arrêt fondée sur l'ancien article 137 lettre b OJ (ATFA non publié du 29 novembre 2005, C 175/04 consid. 2.2). Les preuves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w:t>
      </w:r>
    </w:p>
    <w:p>
      <w:r>
        <w:t>A/911/2013 - 18/21 -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b. En l'occurrence, le recourant a fait l'objet d'expertises pour la première fois dans le cadre de la présente procédure. L'expertise judiciaire a permis de déterminer que le recourant présente une incapacité de travail de 60%, comme relevé ci-dessus. Il s'agit assurément d'un moyen de preuve de faits importants et existants déjà au moment de la première demande, que le recourant ne pouvait pas produire dans la première procédure. Dans ces conditions, il y a lieu d’admettre la révision procédurale.</w:t>
      </w:r>
    </w:p>
    <w:p>
      <w:r>
        <w:rPr>
          <w:b/>
        </w:rPr>
        <w:t>E. 11</w:t>
      </w:r>
    </w:p>
    <w:p>
      <w:r>
        <w:t>Il convient dès lors de déterminer la perte de gain du recourant dans une activité simple et répétitive à 40 % par rapport à un emploi en tant qu’employé de commerce.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w:t>
      </w:r>
    </w:p>
    <w:p>
      <w:r>
        <w:t>A/911/2013 - 19/21 -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b. En l'espèce, dans la mesure où le recourant n'a guère travaillé dans sa profession d'employé de commerce, il y a lieu de se fonder sur les statistiques pour déterminer le salaire sans invalidité. Selon l’enquête suisse sur la structure du salaire (ESS) 2004, le salaire médian des hommes pour les secrétariats et les travaux de chancellerie était de CHF 6'273.- (TA7 ch. 22). Pour le salaire d'invalide, il convient de se référer au salaire statistique médian dans les activités simples et répétitives. Ce salaire était en 2004 de CHF 4'588.- pour les hommes, soit pour un taux d'occupation de 40 % de CHF 1'835,20 (ESS 2004, TA1). Comparé au salaire d’un employé de commerce, la perte de gain est dès lors de 70,74 %, sans tenir compte d'un éventuel abattement supplémentaire pour tenir compte du taux partiel de l'activité. Un tel degré d'invalidité ouvre le droit à une rente entière.</w:t>
      </w:r>
    </w:p>
    <w:p>
      <w:r>
        <w:t>A/911/2013 - 20/21 - Il est à cet égard à relever que l'année déterminante pour la comparaison des salaires est en principe l'année 2006, date de la naissance du droit à la rente. Cependant, dans la mesure où l'évolution des salaires avec et sans invalidité était identique entre 2004 et 2006, le rapport entre ces revenus reste le même dans les années suivantes, de sorte qu'il n'est pas nécessaire d'actualiser les chiffres de 2004.</w:t>
      </w:r>
    </w:p>
    <w:p>
      <w:r>
        <w:rPr>
          <w:b/>
        </w:rPr>
        <w:t>E. 12</w:t>
      </w:r>
    </w:p>
    <w:p>
      <w:r>
        <w:t>S'agissant en l’occurrence d’une révision procédurale fondée sur une expertise judiciaire, il y a lieu de réviser la décision du 8 décembre 2006 de l’intimé, par laquelle il a refusé au recourant une rente d’invalidité. L’incapacité de travail étant réduite à 40 % depuis avril 2005 selon l’expert judiciaire, le droit à la rente est né en avril 2006.</w:t>
      </w:r>
    </w:p>
    <w:p>
      <w:r>
        <w:rPr>
          <w:b/>
        </w:rPr>
        <w:t>E. 13</w:t>
      </w:r>
    </w:p>
    <w:p>
      <w:r>
        <w:t>a. Selon l'art. 24 al. 1 LPGA (art. 48 al. 1 aLAI dans sa version en vigueur jusqu'au 31 décembre 2007), le droit à des prestations arriérées s'éteint cinq ans après la fin du mois pour lequel la prestation était due. Ainsi,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(ATF non publiés 9C_532/2011 du 7 mai 2012, consid. 4.3 et 9C_574/2008 du 27 mars 2009, consid. 2.2). b. Dans la mesure où le recourant a déposé sa nouvelle demande en janvier 2011et que son droit est né en avril 2006, soit cinq ans auparavant, il peut prétendre aux prestations arriérées depuis cette date.</w:t>
      </w:r>
    </w:p>
    <w:p>
      <w:r>
        <w:rPr>
          <w:b/>
        </w:rPr>
        <w:t>E. 14</w:t>
      </w:r>
    </w:p>
    <w:p>
      <w:r>
        <w:t>Cela étant, le recours sera admis, la décision annulée et le recourant mis au bénéfice d’une rente d’invalidité entière à partir d'avril 2006.</w:t>
      </w:r>
    </w:p>
    <w:p>
      <w:r>
        <w:rPr>
          <w:b/>
        </w:rPr>
        <w:t>E. 15</w:t>
      </w:r>
    </w:p>
    <w:p>
      <w:r>
        <w:t>Le recourant obtenant entièrement gain de cause, une indemnité de CHF 3'000.- lui est octroyée à titre dépens.</w:t>
      </w:r>
    </w:p>
    <w:p>
      <w:r>
        <w:rPr>
          <w:b/>
        </w:rPr>
        <w:t>E. 16</w:t>
      </w:r>
    </w:p>
    <w:p>
      <w:r>
        <w:t>L’émolument de justice fixé à CHF 200.- est mis à la charge de l’intimé.</w:t>
      </w:r>
    </w:p>
    <w:p>
      <w:r>
        <w:t>A/911/2013 - 21/21 -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