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ATAS/686/2013 vom 27. Juni 2013</w:t>
      </w:r>
    </w:p>
    <w:p>
      <w:r>
        <w:t>GE Cour de justice, 2013-06-27, FR</w:t>
      </w:r>
    </w:p>
    <w:p>
      <w:r>
        <w:rPr>
          <w:b/>
        </w:rPr>
        <w:t xml:space="preserve">Quelle: </w:t>
      </w:r>
      <w:r>
        <w:t>https://mcp.opencaselaw.ch/entscheid/ge_gerichte_ATAS_686_2013</w:t>
      </w:r>
    </w:p>
    <w:p>
      <w:r>
        <w:t>FR: GE_GERICHTE ATAS/686/2013 du 27 juin 2013</w:t>
      </w:r>
    </w:p>
    <w:p>
      <w:r>
        <w:t>IT: GE_GERICHTE ATAS/686/2013 del 27 giugno 2013</w:t>
      </w:r>
    </w:p>
    <w:p>
      <w:pPr>
        <w:pStyle w:val="Heading2"/>
      </w:pPr>
      <w:r>
        <w:t>Erwägungen</w:t>
      </w:r>
    </w:p>
    <w:p>
      <w:r>
        <w:rPr>
          <w:b/>
        </w:rPr>
        <w:t>E. 1</w:t>
      </w:r>
    </w:p>
    <w:p>
      <w:r>
        <w:t>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Interjeté dans les forme et délai prévus par la loi, le recours est recevable (cf. art. 56ss LPGA).</w:t>
      </w:r>
    </w:p>
    <w:p>
      <w:r>
        <w:rPr>
          <w:b/>
        </w:rPr>
        <w:t>E. 3</w:t>
      </w:r>
    </w:p>
    <w:p>
      <w:r>
        <w:t>Le litige porte sur l'obligation du recourant, en sa qualité d’associé-gérant et ancien organe de la société faillie, de réparer le dommage causé à l'intimée par le non- paiement des cotisations sociales.</w:t>
      </w:r>
    </w:p>
    <w:p>
      <w:r>
        <w:rPr>
          <w:b/>
        </w:rPr>
        <w:t>E. 4</w:t>
      </w:r>
    </w:p>
    <w:p>
      <w:r>
        <w:t>Selon l'art. 52 LAVS, l'employeur qui, intentionnellement ou par négligence grave, n'observe pas des prescriptions et cause ainsi un dommage à la caisse de compensation, est tenu à réparation.</w:t>
      </w:r>
    </w:p>
    <w:p>
      <w:r>
        <w:rPr>
          <w:b/>
        </w:rPr>
        <w:t>E. 5</w:t>
      </w:r>
    </w:p>
    <w:p>
      <w:r>
        <w:t>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w:t>
      </w:r>
    </w:p>
    <w:p>
      <w:r>
        <w:t>A/3248/2012 - 4/8 -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En l'espèce, l'état de collocation a été déposé le 19 juin 2011. Au regard des principes jurisprudentiels qui viennent d'être rappelés, il faut considérer que c'est ce jour-là que la caisse de compensation a eu connaissance de son dommage. En notifiant sa décision en réparation du dommage le 17 août 2012, la caisse de compensation a donc respecté le délai de prescription de deux ans instauré par le nouvel art. 52 al. 3 LAVS et a donc agi en temps utile.</w:t>
      </w:r>
    </w:p>
    <w:p>
      <w:r>
        <w:rPr>
          <w:b/>
        </w:rPr>
        <w:t>E. 6</w:t>
      </w:r>
    </w:p>
    <w:p>
      <w:r>
        <w:t>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w:t>
      </w:r>
    </w:p>
    <w:p>
      <w:r>
        <w:t>A/3248/2012 - 5/8 - aux organes qui ont agi en son nom (ATF 123 V 15 consid. 5b, 122 V 66 consid. 4a, 119 V 405 consid. 2 et les références).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w:t>
      </w:r>
    </w:p>
    <w:p>
      <w:r>
        <w:rPr>
          <w:b/>
        </w:rPr>
        <w:t>E. 7</w:t>
      </w:r>
    </w:p>
    <w:p>
      <w:r>
        <w:t>En l'espèce, le dommage consiste en la perte de la créance de cotisations subie par la caisse en raison de la faillite de la société. Le montant du dommage n’est pas contesté. Le recourant conteste sa responsabilité dans le dommage subi par la caisse, alléguant qu’il a fait tout son possible pour éviter la faillite de la société.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En l'espèce, il ressort de l'extrait du RC que le recourant a été associé-gérant avec signature individuelle de la société durant toute la durée de vie de cette dernière. Il est ainsi indéniable qu'il avait la qualité d'organe de la société faillie, ce qu'il ne conteste d'ailleurs pas. Encore faut-il examiner s’il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w:t>
      </w:r>
    </w:p>
    <w:p>
      <w:r>
        <w:t>A/3248/2012 - 6/8 -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w:t>
      </w:r>
    </w:p>
    <w:p>
      <w:r>
        <w:rPr>
          <w:b/>
        </w:rPr>
        <w:t>E. 8</w:t>
      </w:r>
    </w:p>
    <w:p>
      <w:r>
        <w:t>De jurisprudence constante, il y a négligence grave lorsque l'employeur ne se conforme pas à ce qui peut être raisonnablement exigé de toute personne capable de discernement dans une situation identique et dans les mêmes circonstances. La mesure de ce que l'on est en droit d'exiger à cet égard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 En l’espèce, force est de constater que les dispositions régissant l’AVS ont été intentionnellement violées puisque le recourant admet avoir laissé les cotisations en souffrance. La jurisprudence admet que l'on puisse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RCC 1992 p. 261 consid. 4b). Mais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En l'espèce, le recourant avait parfaitement conscience des difficultés financières rencontrées par sa société. Il espérait que la situation s’arrange, certes, mais n’avait pas de raisons objectives de penser que tel serait effectivement le cas. Au contraire,</w:t>
      </w:r>
    </w:p>
    <w:p>
      <w:r>
        <w:t>A/3248/2012 - 7/8 - puisqu’il a reconnu que les contrats se concluaient difficilement. En pareilles circonstances, on ne saurait admettre que le recourant avait des raisons sérieuses et objectives de penser que le retard dans le règlement des cotisations aux assurances sociales n'était que passager, au sens de la jurisprudence (a contrario, voir aussi ATF 121 V 243). Il n'était donc pas autorisé, aux conditions posées par la jurisprudence, à différer le paiement des cotisations qu'il avait retenues sur les salaires payés, sous peine de commettre une négligence grave sanctionnée par l'art. 52 LAVS (ATFA 277/01 du 29 août 2002 consid. 3) d'autant qu'alors qu'il laissait en souffrance les créances de la caisse de compensation, il s'acquittait d'autres dettes plus pressantes, faisant ainsi bénéficier son entreprise d'un financement illicite par les deniers publics (ATFA 134/02 du 30 janvier 2003 consid. 3.1; cf. ATF 108 V 196 consid. 4). Eu égard aux considérations qui précèdent, le recourant ne saurait être exonéré de sa responsabilité d'organe envers la caisse de compensation car il s’est bel et bien rendu coupable de négligence grave.</w:t>
      </w:r>
    </w:p>
    <w:p>
      <w:r>
        <w:rPr>
          <w:b/>
        </w:rPr>
        <w:t>E. 9</w:t>
      </w:r>
    </w:p>
    <w:p>
      <w:r>
        <w:t>Cette conclusion s'applique tant pour les cotisations AVS dues que pour les contributions aux allocations familiales.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w:t>
      </w:r>
    </w:p>
    <w:p>
      <w:r>
        <w:rPr>
          <w:b/>
        </w:rPr>
        <w:t>E. 10</w:t>
      </w:r>
    </w:p>
    <w:p>
      <w:r>
        <w:t>Eu égard aux considérations qui précèdent, le recours est rejeté.</w:t>
      </w:r>
    </w:p>
    <w:p>
      <w:r>
        <w:t>A/3248/2012 - 8/8 -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