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ATAS/686/2011 vom 5. Juli 2011</w:t>
      </w:r>
    </w:p>
    <w:p>
      <w:r>
        <w:t>GE Cour de justice, 2011-07-05, FR</w:t>
      </w:r>
    </w:p>
    <w:p>
      <w:r>
        <w:rPr>
          <w:b/>
        </w:rPr>
        <w:t xml:space="preserve">Quelle: </w:t>
      </w:r>
      <w:r>
        <w:t>https://mcp.opencaselaw.ch/entscheid/ge_gerichte_ATAS_686_2011</w:t>
      </w:r>
    </w:p>
    <w:p>
      <w:r>
        <w:t>FR: GE_GERICHTE ATAS/686/2011 du 5 juillet 2011</w:t>
      </w:r>
    </w:p>
    <w:p>
      <w:r>
        <w:t>IT: GE_GERICHTE ATAS/686/2011 del 5 luglio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au cas d’espèce.</w:t>
      </w:r>
    </w:p>
    <w:p>
      <w:r>
        <w:rPr>
          <w:b/>
        </w:rPr>
        <w:t>E. 3</w:t>
      </w:r>
    </w:p>
    <w:p>
      <w:r>
        <w:t>Le recours ayant été interjeté dans les forme et délai prévus par la loi, il est recevable (art. 56 ss LPGA).</w:t>
      </w:r>
    </w:p>
    <w:p>
      <w:r>
        <w:t>A/3651/2010 - 7/13 -</w:t>
      </w:r>
    </w:p>
    <w:p>
      <w:r>
        <w:rPr>
          <w:b/>
        </w:rPr>
        <w:t>E. 4</w:t>
      </w:r>
    </w:p>
    <w:p>
      <w:r>
        <w:t>Le litige porte sur le droit du recourant à des prestations de l’assurance-invalidité.</w:t>
      </w:r>
    </w:p>
    <w:p>
      <w:r>
        <w:rPr>
          <w:b/>
        </w:rPr>
        <w:t>E. 5</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On notera encore que si l’assurance-invalité n’est pas liée de manière absolue par l'évaluation de l'invalidité par l'assurance-accidents (ATF 133 V 549, consid. 6), la notion d’invalidité n’en est pas moins identique en matière d'assurance-accidents, d'assurance militaire et d'assurance-invalidité (ATF I 29/05 du 23 janvier 2006, consid. 4.1.1).</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t>A/3651/2010 - 8/13 - Contrairement au droit à une rente (art. 28 al. 1 LAI), la loi ne dit pas à partir de quel degré d’invalidité l’assuré peut prétendre des mesures de réadaptation. La jurisprudence a cependant fixé un taux de l’ordre de 20 % pour ouvrir le droit à un reclassement (ATF 130 V 488, consid. 4.2 ; ATF I 665/99 du 18 octobre 2000, consid. 4b).</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A/3651/2010 - 9/13 -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w:t>
      </w:r>
    </w:p>
    <w:p>
      <w:r>
        <w:rPr>
          <w:b/>
        </w:rPr>
        <w:t>E. 8</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w:t>
      </w:r>
    </w:p>
    <w:p>
      <w:r>
        <w:t>A/3651/2010 - 10/13 - jusqu’au moment où la décision est rendue (c’est-à-dire entre le projet de décision et la décision elle-même), doivent être prises en compte (ATF 129 V 222, consid. 4.1, ATF 128 V 174).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consid. 3b/aa).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Quant au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justifié dans un cas concret relève du pouvoir d'appréciation de l'autorité (ATF 132 V 393, consid. 3.3).</w:t>
      </w:r>
    </w:p>
    <w:p>
      <w:r>
        <w:rPr>
          <w:b/>
        </w:rPr>
        <w:t>E. 9</w:t>
      </w:r>
    </w:p>
    <w:p>
      <w:r>
        <w:t>En l’espèce, les médecins de la CRR ont conclu à une capacité de travail entière du recourant dans une activité adaptée à ses limitations fonctionnelles. Leur rapport doit se voir reconnaître une pleine valeur probante, dans la mesure où il satisfait aux réquisits jurisprudentiels développés ci-dessus. Les Drs F_________ et G_________ ont en effet établi l’anamnèse du recourant, relaté ses plaintes et procédé à un examen clinique minutieux, complété par une évaluation physiothérapeutique. Leurs conclusions sont claires et motivées, de sorte qu’il n’y a pas lieu de s’en écarter. Elles sont d’ailleurs identiques à celles du Dr D_________, qui a également examiné le recourant. En ce qui concerne les limitations dont fait état le Dr B_________, elles sont connues des experts, et ont été prises en compte pour déterminer l’activité exigible.</w:t>
      </w:r>
    </w:p>
    <w:p>
      <w:r>
        <w:t>A/3651/2010 - 11/13 - Quant au diagnostic du Dr I_________, il ne constitue pas non plus un élément dont les experts auraient omis de tenir compte, les lombalgies ayant déjà été constatées par les médecins de la CRR et le Dr D_________. La même remarque vaut pour le rapport du Dr J_________, qui ne contient aucun élément nouveau. De plus, l’évaluation de l’invalidité du recourant dépend non pas de la question de savoir s’il présente encore des douleurs lombaires – point qui n’est pas contesté par les médecins qui l’ont ausculté – mais de sa capacité de travail dans une activité adaptée à ses limitations. Or, ni le Dr B_________ dans son courrier du 13 janvier 2010, ni les Drs I_________ et J_________ ne se sont exprimés sur ce point. Partant, leurs rapports ne permettent pas de remettre en question les conclusions des experts. Compte tenu de ce qui précède, il y a lieu d’admettre que le recourant dispose d’une pleine capacité de gain dans une activité adaptée. Par appréciation anticipée des preuves, une nouvelle expertise afin de la déterminer se révèle dès lors superflue.</w:t>
      </w:r>
    </w:p>
    <w:p>
      <w:r>
        <w:rPr>
          <w:b/>
        </w:rPr>
        <w:t>E. 10</w:t>
      </w:r>
    </w:p>
    <w:p>
      <w:r>
        <w:t>Il convient encore de vérifier le calcul de l’invalidité auquel l’intimé a procédé. Si la référence au salaire correspondant à la ligne Total du tableau 1 de l’ESS 2008 se révèle conforme à la jurisprudence, la durée moyenne hebdomadaire de travail servant de base de calcul est en revanche erronée. En effet, selon la statistique sur la Durée normale du travail dans les entreprises selon la division économique (DNT) établie par l’OFFICE FEDERAL DE LA STATISTIQUE (OFS), la durée moyenne de travail en 2008 et 2009 dans les entreprises était non pas de 41.7 mais de 41.6 heures. L’évolution des salaires nominaux pour les hommes en 2009 était quant à elle de 2.2 % par rapport à l’année précédente (Statistique de l’indice suisse des prix à la consommation de l’OFS). Le revenu avec invalidité est ainsi de 4'806 fr. ou 57'672 fr. en 2008 pour 40 heures de travail hebdomadaires selon l'ESS 2008. Après indexation, on obtient pour 2009 un revenu de 58'883 fr. pour 40 heures et 61'238 fr. pour 41.6 heures. En procédant à un abattement de 15 % sur le revenu statistique, l’intimé est resté dans les limites de son pouvoir d’appréciation, si bien qu’il n’y a pas lieu de s’en écarter. Compte tenu de cette réduction, le revenu avec invalidité est de 52'052 fr. On ignore comment l’intimé est parvenu à un revenu sans invalidité de 59'984 fr., dès lors que ce chiffre ne ressort pas du questionnaire rempli par l'employeur, pour lequel le recourant, dont la rémunération était variable, ne travaillait que depuis quelques mois lors de la survenance de l’accident. Si l’on se réfère au salaire horaire indiqué de 33 fr., vacances incluses, et à la durée de travail de l’entreprise de 40 heures, le revenu annuel sans invalidité peut être estimé comme suit : 40 heures à 33 fr., soit 1'320 fr. hebdomadaires, multipliés par 48 semaines par an (les vacances n’étant pas payées en sus), soit 63'360 fr. Compte tenu de l’indexation, le revenu sans invalidité pour 2009 peut être estimé à 64'691 fr.</w:t>
      </w:r>
    </w:p>
    <w:p>
      <w:r>
        <w:t>A/3651/2010 - 12/13 - La différence entre ces deux revenus donne un degré d’invalidité de 17.8 %, qu’il convient d’arrondir à 18 % (ATF 130 V 121). Ce taux reste toutefois insuffisant pour ouvrir le droit à une rente. Il est également en-dessous du seuil défini par la jurisprudence pour l’octroi de mesures de reclassement. On soulignera d’ailleurs à cet égard que les limitations fonctionnelles du recourant ne sont d'ailleurs pas d’une ampleur telle qu’il n’existe pas sur le marché du travail de postes adaptés et accessibles sans formation particulière. Dans ces conditions, l'octroi d'une mesure d'orientation professionnelle financée par l'assurance-invalidité apparaitrait quoi qu'il en soit superflue. En revanche, le recourant pourrait bénéficier d’un soutien actif dans la recherche d’un emploi approprié et, partant, d’une mesure de placement au sens de l’art. 18 LAI. L’intimé ne s’étant pas prononcé sur le droit du recourant à une telle mesure et ne s’étant pas exprimé à ce sujet lors de l’échange d’écritures, l’octroi d’une aide au placement ne peut être examiné dans le cadre du présent recours (ATF 131 V 164 consid. 2.1; ATF 130 V 501, consid. 1.2). Il convient cependant de rendre le recourant attentif à la possibilité de requérir une telle mesure auprès de l’intimé.</w:t>
      </w:r>
    </w:p>
    <w:p>
      <w:r>
        <w:rPr>
          <w:b/>
        </w:rPr>
        <w:t>E. 11</w:t>
      </w:r>
    </w:p>
    <w:p>
      <w:r>
        <w:t>Eu égard à ce qui précède, le recours doit être rejeté. Bien que la procédure ne soit pas gratuite en matière d'assurance-invalidité (art. 69 al. 1bis LAI), il y a lieu en l'espèce de renoncer à la perception d'un émolument, le recourant étant au bénéfice de l'assistance juridique (art. 12 al. 1 du règlement sur les frais, émoluments et indemnités en procédure administrative du 30 juillet 1986, RSG E 510.03).</w:t>
      </w:r>
    </w:p>
    <w:p>
      <w:r>
        <w:t>A/3651/2010 - 13/13 -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