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ATAS/685/2010 vom 22. Juni 2010</w:t>
      </w:r>
    </w:p>
    <w:p>
      <w:r>
        <w:t>GE Cour de justice, 2010-06-22, FR</w:t>
      </w:r>
    </w:p>
    <w:p>
      <w:r>
        <w:rPr>
          <w:b/>
        </w:rPr>
        <w:t xml:space="preserve">Quelle: </w:t>
      </w:r>
      <w:r>
        <w:t>https://mcp.opencaselaw.ch/entscheid/ge_gerichte_ATAS_685_2010</w:t>
      </w:r>
    </w:p>
    <w:p>
      <w:r>
        <w:t>FR: GE_GERICHTE ATAS/685/2010 du 22 juin 2010</w:t>
      </w:r>
    </w:p>
    <w:p>
      <w:r>
        <w:t>IT: GE_GERICHTE ATAS/685/2010 del 22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en temps utile et dans la forme légale, le recours est recevable.</w:t>
      </w:r>
    </w:p>
    <w:p>
      <w:r>
        <w:rPr>
          <w:b/>
        </w:rPr>
        <w:t>E. 4</w:t>
      </w:r>
    </w:p>
    <w:p>
      <w:r>
        <w:t>Le litige portait sur le montant des rentes et les bases de calcul, pour la période concernées, soit du 1er janvier 2003 au 31 juillet 2004. En audience, il a été expliqué à l'assurée que le versement des montants rétroactifs des rentes pour enfants à leur père, qui s'est vu attribuer leur garde, était conforme au droit, ce que l'assurée à admis. De même, l'assurée a indiqué que, suite aux explications détaillées données par la FER, le montant des rentes et les bases de calcul ne sont plus litigieux. Ainsi, ce recours n'a plus d'objet, car la contestation de la compensation pour la période du 1er août au 31 décembre 2004 concerne la cause A/152/2010</w:t>
      </w:r>
    </w:p>
    <w:p>
      <w:r>
        <w:rPr>
          <w:b/>
        </w:rPr>
        <w:t>E. 5</w:t>
      </w:r>
    </w:p>
    <w:p>
      <w:r>
        <w:t>Le recours, recevable à la forme, est donc déclaré sans objet. Compte tenu de l'issue de ce litige, aucun émolument ne sera perçu.</w:t>
      </w:r>
    </w:p>
    <w:p>
      <w:r>
        <w:t>A/159/2010 - 5/5 -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