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ATAS/684/2016 vom 25. August 2016</w:t>
      </w:r>
    </w:p>
    <w:p>
      <w:r>
        <w:t>GE Cour de justice, 2016-08-25, FR</w:t>
      </w:r>
    </w:p>
    <w:p>
      <w:r>
        <w:rPr>
          <w:b/>
        </w:rPr>
        <w:t xml:space="preserve">Quelle: </w:t>
      </w:r>
      <w:r>
        <w:t>https://mcp.opencaselaw.ch/entscheid/ge_gerichte_ATAS_684_2016</w:t>
      </w:r>
    </w:p>
    <w:p>
      <w:r>
        <w:t>FR: GE_GERICHTE ATAS/684/2016 du 25 août 2016</w:t>
      </w:r>
    </w:p>
    <w:p>
      <w:r>
        <w:t>IT: GE_GERICHTE ATAS/684/2016 del 25 agosto 2016</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rejet par l’intimé de la demande de prestations de la recourante.</w:t>
      </w:r>
    </w:p>
    <w:p>
      <w:r>
        <w:rPr>
          <w:b/>
        </w:rPr>
        <w:t>E. 5</w:t>
      </w:r>
    </w:p>
    <w:p>
      <w:r>
        <w:t>Aux termes de l’art. 8 al. 1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A teneur de l’art. 28a al. 2 LAI, l'invalidité de l'assuré qui n'exerce pas d'activité lucrative et dont on ne peut raisonnablement exiger qu'il en entreprenne une est</w:t>
      </w:r>
    </w:p>
    <w:p>
      <w:r>
        <w:t>A/98/2016 - 9/21 - évaluée, en dérogation à l'art. 16 LPGA, en fonction de son incapacité à accomplir ses travaux habituels. L’art. 27 du règlement du 17 janvier 1961 sur l’assurance-invalidité du 17 janvier 1961 (RAI - RS 831.201) précise que par travaux habituels des assurés travaillant dans le ménage, il faut entendre notamment l'activité usuelle dans le ménage, l'éducation des enfants ainsi que toute activité artistique ou d'utilité publique.</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consid. 3.1.;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w:t>
      </w:r>
    </w:p>
    <w:p>
      <w:r>
        <w:rPr>
          <w:b/>
        </w:rPr>
        <w:t>E. 7</w:t>
      </w:r>
    </w:p>
    <w:p>
      <w:r>
        <w:t>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w:t>
      </w:r>
    </w:p>
    <w:p>
      <w:r>
        <w:t>A/98/2016 - 10/21 -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et de traumatisme du type « coup du lapin » (ATF 136 V 279 consid. 3.2.3; arrêt du Tribunal fédéral 8C_10/2015 du 5 septembre 2015 destiné à la publication consid. 5.2). En revanche, ils ne sont pas applicables par analogie à la fatigue liée au cancer (cancer-related Fatigue) (ATF 139 V 346 consid. 3; arrêt du Tribunal fédéral 9C_73/2013 du 2 septembre 2013 consid. 5).</w:t>
      </w:r>
    </w:p>
    <w:p>
      <w:r>
        <w:rPr>
          <w:b/>
        </w:rPr>
        <w:t>E. 8</w:t>
      </w:r>
    </w:p>
    <w:p>
      <w:r>
        <w:t>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w:t>
      </w:r>
    </w:p>
    <w:p>
      <w:r>
        <w:t>A/98/2016 - 11/21 -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w:t>
      </w:r>
    </w:p>
    <w:p>
      <w:r>
        <w:rPr>
          <w:b/>
        </w:rPr>
        <w:t>E. 9</w:t>
      </w:r>
    </w:p>
    <w:p>
      <w:r>
        <w:t>Dans un arrêt récent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w:t>
      </w:r>
    </w:p>
    <w:p>
      <w:r>
        <w:t>A/98/2016 - 12/21 -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w:t>
      </w:r>
    </w:p>
    <w:p>
      <w:r>
        <w:t>A/98/2016 - 13/21 -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w:t>
      </w:r>
    </w:p>
    <w:p>
      <w:r>
        <w:t>A/98/2016 - 14/21 - l’exigibilité repose sur une base objective (consid. 5.2.2; ATF 137 V 64 consid. 1.2 in fine).</w:t>
      </w:r>
    </w:p>
    <w:p>
      <w:r>
        <w:rPr>
          <w:b/>
        </w:rPr>
        <w:t>E. 10</w:t>
      </w:r>
    </w:p>
    <w:p>
      <w:r>
        <w:t>Les expertises mises en œuvre selon les anciens standards de procédure ne perdent pas d'emblée toute valeur probante. Il y a lieu d'examiner dans chaque cas si les expertises administratives et/ou les expertises judiciaires recueillies-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(arrêt du Tribunal fédéral 9C_492/2014 du 3 juin 2015 consid. 8)</w:t>
      </w:r>
    </w:p>
    <w:p>
      <w:r>
        <w:rPr>
          <w:b/>
        </w:rPr>
        <w:t>E. 11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t>A/98/2016 - 15/21 -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 648/03 du 18 septembre 2004 consid. 5.1.3 et 5.1.4). Un rapport au sens de l’art. 49 al. 3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Ils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(cf. arrêts du Tribunal fédéral 9C_581/2007 du 14 juillet 2008 consid. 3.2 et 9C_341/2007 du 16 novembre 2007 consid. 4.1). En ce qui concerne les rapports établis par les médecins traitants, le juge peut et doit tenir compte du fait que, selon l'expérience, le médecin traitant est</w:t>
      </w:r>
    </w:p>
    <w:p>
      <w:r>
        <w:t>A/98/2016 - 16/21 -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(Cst, RS 101; SVR 2001 IV n° 10 p. 28 consid. 4b), la jurisprudence rendue sous l’empire de l’art. 4 aCst. étant toujours valable (ATF 124 V 90 consid. 4b, ATF 122 V 157 consid. 1d).</w:t>
      </w:r>
    </w:p>
    <w:p>
      <w:r>
        <w:rPr>
          <w:b/>
        </w:rPr>
        <w:t>E. 13</w:t>
      </w:r>
    </w:p>
    <w:p>
      <w:r>
        <w:t>a) En l’espèce, l’intimé considère que la recourante ne présente ni limitation fonctionnelle, ni incapacité de travail, quelle que soit l’activité déployée. Il se base pour cela sur l’expertise du CEMed et les avis du SMR y relatifs, dont la recourante conteste la valeur probante.</w:t>
      </w:r>
    </w:p>
    <w:p>
      <w:r>
        <w:t>A/98/2016 - 17/21 - En réalité, la recourante ne fait que substituer sa propre appréciation et celle de la Dresse B______ à celles des Drs D______ et E______ du CEMed. Or,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(arrêt du Tribunal fédéral 9C_618/2014 du 9 janvier 2015 consid. 6.2.3). b) En l’occurrence, l’expertise du CEMed est fondée sur un examen rhumatologique et de médecine interne du Dr D______, un examen psychiatrique du Dr E______ et sur une étude approfondie du dossier. Elle expose l’anamnèse de l’intéressée et tient compte de ses plaintes et des conclusions de la Dresse B______. Contrairement à ce que soutient la recourante, les diagnostics retenus sont clairs et discutés en détails, et les conclusions motivées à satisfaction de droit. Les experts ont pris le soin de détailler leur analyse du cas dans les domaines de la médecine interne, de la rhumatologie et de la psychiatrie et d’expliquer pour quelles raisons ils ont retenu ou écarté des diagnostics. Leurs appréciations permettent de comprendre les troubles affectant la recourante et leur absence de conséquences sur sa capacité de travail. Compte tenu de ces éléments, force est de constater que l’expertise du CEMed doit se voir reconnaître une pleine valeur probante. Quant au rapport de la Dresse B______ du 23 octobre 2012, outre le fait qu’il émane du médecin traitant de la recourante, ce dont il faut tenir compte, il est entaché d’un défaut de motivation. En effet, la Dresse B______ se contente d’énuméré les diagnostics de polyarthrose (plus de dix ans), de discopathie L5/S1, d’état dépressif (2000) et de statut post onze grossesses et d’évaluer la capacité de travail à 0% dans toute activité professionnelle et à 50% dans l’activité ménagère, sans fournir la moindre explication quant aux taux d’activité retenus ou aux éventuelles limitations fonctionnelles engendrées par les atteintes à la santé. En tout état de cause, le rapport de la Dresse B______ n’apporte aucun élément objectif qui aurait été ignoré par les Drs D______ et E______. Or, le simple fait que ses conclusions diffèrent de celles des experts ne suffit pas pour remettre en cause l’expertise. c) Dans le cadre de son opposition au projet de décision, puis de son recours, la recourante a reproché à l’intimé de s’être fondé sur ladite expertise, sans tenir compte de la dernière jurisprudence du Tribunal fédéral et des nouveaux indicateurs mis en place pour évaluer le caractère invalidant de syndromes du type troubles somatoformes douloureux. Dans ce contexte, l’intimé a requis l’avis du SMR, qui s’est prononcé à deux reprises sur le cas de la recourante. Dans son avis du 9 février 2016, le SMR a examiné en détail chacun des indicateurs mis en place par la nouvelle jurisprudence</w:t>
      </w:r>
    </w:p>
    <w:p>
      <w:r>
        <w:t>A/98/2016 - 18/21 - du Tribunal fédéral et est parvenu à la conclusion que les atteintes identifiées par les experts n’engendraient aucune incapacité de travail. d) Il n’est pas contesté que la nouvelle jurisprudence doit trouver ici application dans la mesure où la procédure était pendante au moment où le Tribunal fédéral a rendu son arrêt de principe 9C_492/2014 du 3 juin 2015. Se pose dès lors la question de savoir si une expertise complémentaire psychiatrique est nécessaire. Tel ne sera pas le cas si l’expertise déjà rendue permet de déterminer si le trouble somatoforme douloureux est invalidant au regard des nouveaux critères jurisprudentiels. S’agissant de l’atteinte à la santé, les experts retiennent les diagnostics de dysthymie (2000), de syndrome douloureux somatoforme persistant (2006), sous forme de fibromyalgie, de cervicalgies et lombalgies communes sur modifications dégénératives modérées (1994), de périarthrite de la hanche gauche (2012), d’hypothyroïdie post thyroïdite de Hashimoto (2006) substituée, de colopathie fonctionnelle, de maladie de reflux et gastrite à Helicobacter (2006) et d’anémie ferriprive (2004). Le syndrome douloureux somatoforme persistant n’est pas contesté mais, selon les experts, il n’entraîne pas de limitations fonctionnelles, de sorte que la capacité de l’assurée à accomplir les tâches ménagères est préservée. En ce qui concerne le traitement, les experts constatent que la symptomatologie dépressive n’a nécessité ni prise en charge psychiatrique ni hospitalisation dans un hôpital psychiatrique. Le traitement antidépresseur a été prescrit à petite posologie et arrêté fin 2013. Selon le principe de la vraisemblance prépondérante et à défaut d’une médication et/ou d’un traitement spécifique, il convient de conclure à l’absence de gravité de la pathologie psychique, d’autant qu’à l’examen, les experts n’ont constaté qu’une dysthymie, soit une symptomatologie dépressive chronique atténuée par rapport à un trouble dépressif. En effet, ainsi, il convient de considérer que la recourante n’est pas entravée dans ses ressources pour surmonter les douleurs ressenties et tenir son ménage. Par ailleurs, les experts n’ont relevé aucun trait de personnalité pathologique, tant au niveau anamnestique qu’à l’examen psychiatrique. Légèrement dépressive, la recourante ne souffre ni de trouble cognitif, de de déficit attentionnel, ni de ralentissement psychomoteur. Le contact avec les experts a été normal et sans ralentissement. L’assurée a été décrite comme orientée dans les quatre modes et sans trouble de la mémoire à court ou à long terme, son jugement et son raisonnement comme sans particularité. Ces éléments viennent corroborer le fait qu’elle dispose de ressources personnelles préservées. S’agissant du contexte social, les experts ont rappelé que la recourante a fui la guerre de Somalie en 1991, qu’elle est très peu scolarisée, sans formation et ne parle pas le français ; mariée à 17 ans, elle a eu onze enfants, dont une enfant lourdement handicapée, et vit repliée autour de son entourage familial. Cela étant, l’intéressée peut bénéficier de l’aide de ses enfants valides et vivant encore au</w:t>
      </w:r>
    </w:p>
    <w:p>
      <w:r>
        <w:t>A/98/2016 - 19/21 - domicile familial - pour huit d’entre eux - pour effectuer les tâches ménagères les plus lourdes et les tâches administratives. S’ajoute à cela que son mari est à la retraite et qu’il est donc également disponible pour l’assister dans la tenue du ménage. L’environnement social de la recourante est ainsi plutôt positif et soutenant. S’agissant en particulier des tâches administratives, rien dans l’expertise, ni le dossier ne permet de conclure que l’atteinte à la santé de la recourante a eu une influence directe sur celles-ci. En effet, il est très probable, dans la mesure où la recourante ne parle pas le français, à l’inverse de ses enfants, nés et scolarisés en Suisse pour la plupart, que ceux-ci ont toujours, si ce n’est pris en charge, à tout le moins participé à l’exécution des tâches administratives, lesquelles nécessitent un niveau de français supérieur à celui de l’intéressée. Quant au poids de la souffrance de la recourante, force est de constater que ses plaintes plutôt prononcées contrastent avec les constatations objectives des experts, qui ont conclu à l’absence de limitations fonctionnelles. S’y ajoute le fait que la recourante ne prend ni antalgiques, ni antidépresseurs. En définitive, l’expertise du CEMed permet de confirmer, en application de la nouvelle jurisprudence, l’absence de caractère invalidant du trouble somatoforme douloureux dont souffre la recourante, sans qu’un complément d’expertise ne soit nécessaire. On relèvera encore que l’avis du 9 février 2016 du SMR est cohérent avec l’analyse qui précède, et que la recourante se contente de le contester en substituant y sa propre appréciation et celle de la Dresse B______. S’agissant du courrier du 1er mars 2016 de la Dresse B______, il convient de relever qu’il traite à plusieurs reprises du trouble somatoforme douloureux de manière théorique et non en lien avec la situation concrète de la recourante. Tel est notamment le cas lorsque le médecin traitant explique que le type de pathologie dont souffre la recourante ne répond souvent que peu aux antidépresseurs, ou que les douleurs ostéo-articulaires, y compris arthrosiques, décompensent souvent de manière plus importante que chez une personne sans fibromyalgie. De plus, la Dresse B______ fait erreur lorsqu’elle soutient que l’expertise du CEMed retient que la symptomatologie douloureuse de la recourante l’empêche de s’acquitter de ses tâches ménagères. En effet, si le rapport d’expertise mentionne cet élément, c’est en lien avec les plaintes de la recourante et non avec des constatations objectives des experts. S’ajoute à cela que la Dresse B______ admet que la famille de l’intéressée est présente pour la soutenir et l’assister. On précisera encore que les arguments et le ton employé par la Dresse B______ dans la dernière partie de son courrier, dans laquelle elle reproche à l’assurance-invalidité un « découpage » des patients en diagnostics sans tenir compte de leur situation personnelle et une discrimination des femmes ayant eu beaucoup d’enfants, laisse transparaître une analyse peu objective du cas. Enfin, il convient de relever que le courrier en</w:t>
      </w:r>
    </w:p>
    <w:p>
      <w:r>
        <w:t>A/98/2016 - 20/21 - question n’apporte aucun élément objectif qui aurait été ignoré par l’expertise ou l’avis du SMR et qui permettrait de remettre en question leurs conclusions respectives. Par conséquent, la chambre de céans n’a aucune raison de s’écarter des conclusions de l’expertise du CEMed et des avis du SMR. Ces documents permettent de forger une appréciation concluante du cas à l'aune des indicateurs de la nouvelle jurisprudence du Tribunal fédéral en matière de troubles somatoformes douloureux. C’est donc à bon droit que l’intimé a rejeté la demande de prestation, faute de maladie justifiant une diminution de sa capacité de travail de longue durée ou des empêchements dans le ménage.</w:t>
      </w:r>
    </w:p>
    <w:p>
      <w:r>
        <w:rPr>
          <w:b/>
        </w:rPr>
        <w:t>E. 14</w:t>
      </w:r>
    </w:p>
    <w:p>
      <w:r>
        <w:t>En dernier lieu, rappelons que la recourante reproche à l’intimé de ne pas avoir mis en œuvre une enquête ménagère destinée à examiner quels sont les travaux habituels assumés par ses soins et son taux d’invalidité par rapport à ces tâches. Comme le relève à juste titre l’intimé, le CEMed et le SMR n’ayant retenu ni atteinte invalidante, ni limitation fonctionnelle, une telle enquête n’a pas lieu d’être. En effet, le résultat de l’enquête aboutit à une évaluation des limitations fonctionnelles qui doit être appréciée par l'administration (et en cas de recours par le juge) à la lumière des conclusions du médecin relatives à l'incapacité de travail dans l'accomplissement des tâches ménagères (arrêt du Tribunal administratif fédéral C-3932/2013 du 4 mai 2015 consid. 7.3.2), de sorte que si le médecin arrive à la conclusion que l’assurée ne présente aucune incapacité de travail dans l’accomplissement des tâches ménagères, comme c’est le cas en l’espèce, l’enquête ménagère est inutile.</w:t>
      </w:r>
    </w:p>
    <w:p>
      <w:r>
        <w:rPr>
          <w:b/>
        </w:rPr>
        <w:t>E. 15</w:t>
      </w:r>
    </w:p>
    <w:p>
      <w:r>
        <w:t>Au vu de ce qui précède, le recours est rejeté. Bien que la procédure ne soit pas gratuite en matière d'assurance-invalidité (art. 69 al. 1bis LAI), il convient de renoncer à la perception d'un émolument, la recourante étant au bénéfice de l'assistance juridique (art. 12 al. 1 du règlement sur les frais, émoluments et indemnités en procédure administrative du 30 juillet 1986 [RFPA - E 5 10.03]).</w:t>
      </w:r>
    </w:p>
    <w:p>
      <w:r>
        <w:t>A/98/2016 - 21/21 -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