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ATAS/683/2024 vom 6. September 2024</w:t>
      </w:r>
    </w:p>
    <w:p>
      <w:r>
        <w:t>GE Cour de justice, 2024-09-06, FR</w:t>
      </w:r>
    </w:p>
    <w:p>
      <w:r>
        <w:rPr>
          <w:b/>
        </w:rPr>
        <w:t xml:space="preserve">Quelle: </w:t>
      </w:r>
      <w:r>
        <w:t>https://mcp.opencaselaw.ch/entscheid/ge_gerichte_ATAS_683_2024</w:t>
      </w:r>
    </w:p>
    <w:p>
      <w:r>
        <w:t>FR: GE_GERICHTE ATAS/683/2024 du 6 septembre 2024</w:t>
      </w:r>
    </w:p>
    <w:p>
      <w:r>
        <w:t>IT: GE_GERICHTE ATAS/683/2024 del 6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w:t>
      </w:r>
    </w:p>
    <w:p>
      <w:r>
        <w:rPr>
          <w:b/>
        </w:rPr>
        <w:t>E. 2</w:t>
      </w:r>
    </w:p>
    <w:p>
      <w:r>
        <w:t>Le litige porte sur le bien-fondé du refus d’accorder à la recourante la remise de son obligation de rembourser la somme de CHF 1'544.20.</w:t>
      </w:r>
    </w:p>
    <w:p>
      <w:r>
        <w:rPr>
          <w:b/>
        </w:rPr>
        <w:t>E. 2.1</w:t>
      </w:r>
    </w:p>
    <w:p>
      <w:r>
        <w:t>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A/2048/2024 - 5/8 -</w:t>
      </w:r>
    </w:p>
    <w:p>
      <w:r>
        <w:rPr>
          <w:b/>
        </w:rPr>
        <w:t>E. 2.2</w:t>
      </w:r>
    </w:p>
    <w:p>
      <w:r>
        <w:t>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t>A/2048/2024 - 6/8 -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2.3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2.4</w:t>
      </w:r>
    </w:p>
    <w:p>
      <w:r>
        <w:t>Dans la décision entreprise, l’intimé a considéré que la condition de la bonne foi n’était pas réalisée, au motif que la recourante savait parfaitement, suite à l’entretien de conseil du 4 juillet 2023, que ses recherches d’emploi réalisées durant le délai de congé étaient insuffisantes quantitativement. Devant la chambre de céans, la recourante fait valoir qu’elle « pensait sincèrement » que les justificatifs médicaux fournis suffisaient pour l’exempter d’une sanction. Il ressort toutefois du dossier, en particulier du procès-verbal de l’entretien de conseil du 4 juillet 2023 (pièce 5 intimé), que seule une recherche d’emploi avait été reçue pour le mois d’avril 2023 et que la recourante avait été informée du risque de sanction durant l’entretien. Ainsi, comme l’a retenu l’intimé, avant de recevoir ses prestations de chômage en août 2023, la recourante avait été dûment</w:t>
      </w:r>
    </w:p>
    <w:p>
      <w:r>
        <w:t>A/2048/2024 - 7/8 - avertie du fait que son manquement était susceptible d’être sanctionné. Elle ne pouvait dès lors ignorer, au moment du versement des indemnités de chômage en août 2023, qu’une partie des prestations versées était indue. Ce n’est que dans son opposition du 24 octobre 2023 que la recourante a invoqué avoir traversé une période difficile et produit une attestation médicale du 20 octobre 2023 mentionnant qu’elle avait été « moralement affectée ». Or, ce document – établi après avoir reçu les prestations litigieuses – ne suffit pas pour admettre qu’elle était de bonne foi. La recourante ne soutient pas avoir évoqué cet élément avec son conseiller en placement – le procès-verbal précité ne contenant aucune mention d’une atteinte à la santé –, ni ne démontre avoir transmis des justificatifs médicaux avant de recevoir les prestations litigieuses. Elle ne peut ainsi prétendre, devant la chambre de céans, qu’elle pouvait « de bonne foi estimer que les justificatifs médicaux fournis avaient convaincu l’OCE de ne pas [la] sanctionner ». À teneur du dossier, l’intimé n’a donné aucune assurance à ce sujet, se limitant au contraire à attirer l’attention de l’intéressée sur le risque de sanction. Ces éléments permettent ainsi d’admettre l’existence d’une négligence grave et, partant, l’absence de bonne foi. C’est ainsi à juste titre que l’intimé a retenu que la condition de la bonne foi n’était pas réalisée. L’intimé pouvait donc se dispenser d’examiner la seconde condition, soit l’exposition à une situation financière difficile, dès lors que ces deux conditions sont cumulatives.</w:t>
      </w:r>
    </w:p>
    <w:p>
      <w:r>
        <w:rPr>
          <w:b/>
        </w:rPr>
        <w:t>E. 3</w:t>
      </w:r>
    </w:p>
    <w:p>
      <w:r>
        <w:t>Au vu de ce qui précède, le recours est rejeté. Pour le surplus, la procédure est gratuite (art. 61 let. fbis LPGA a contrario).</w:t>
      </w:r>
    </w:p>
    <w:p>
      <w:r>
        <w:t>A/2048/2024 - 8/8 -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