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ATAS/683/2015 vom 9. September 2015</w:t>
      </w:r>
    </w:p>
    <w:p>
      <w:r>
        <w:t>GE Cour de justice, 2015-09-09, FR</w:t>
      </w:r>
    </w:p>
    <w:p>
      <w:r>
        <w:rPr>
          <w:b/>
        </w:rPr>
        <w:t xml:space="preserve">Quelle: </w:t>
      </w:r>
      <w:r>
        <w:t>https://mcp.opencaselaw.ch/entscheid/ge_gerichte_ATAS_683_2015</w:t>
      </w:r>
    </w:p>
    <w:p>
      <w:r>
        <w:t>FR: GE_GERICHTE ATAS/683/2015 du 9 septembre 2015</w:t>
      </w:r>
    </w:p>
    <w:p>
      <w:r>
        <w:t>IT: GE_GERICHTE ATAS/683/2015 del 9 settembre 2015</w:t>
      </w:r>
    </w:p>
    <w:p>
      <w:pPr>
        <w:pStyle w:val="Heading2"/>
      </w:pPr>
      <w:r>
        <w:t>Erwägungen</w:t>
      </w:r>
    </w:p>
    <w:p>
      <w:r>
        <w:rPr>
          <w:b/>
        </w:rPr>
        <w:t>E. 39</w:t>
      </w:r>
    </w:p>
    <w:p>
      <w:r>
        <w:t>Dans ses écritures du 2 juillet 2015, l’intimé reprend l’avis médical précité pour conclure à un complément d’expertise.</w:t>
      </w:r>
    </w:p>
    <w:p>
      <w:r>
        <w:t>A/2729/2014 - 12/24 -</w:t>
      </w:r>
    </w:p>
    <w:p>
      <w:r>
        <w:rPr>
          <w:b/>
        </w:rPr>
        <w:t>E. 40</w:t>
      </w:r>
    </w:p>
    <w:p>
      <w:r>
        <w:t>Par écritures du 6 juillet 2015, le recourant conclut à l’octroi d’une rente invalidité fondée sur un taux de 60 % en se fondant sur l’expertise judiciaire.</w:t>
      </w:r>
    </w:p>
    <w:p>
      <w:r>
        <w:rPr>
          <w:b/>
        </w:rPr>
        <w:t>E. 41</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l’état de santé du recourant s’est aggravé depuis la décision du mai 2008 de l’intimé, par laquelle celui-ci lui a refusé tout droit aux prestations. 4. Selon l'art. 17 al. 1 LPGA, si le taux d'invalidité du bénéficiaire de la rente subit une modification notable, la rente est, d'office ou sur demande, révisée pour l'avenir, à savoir augmentée ou réduite en conséquence, ou encore supprimée.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A/2729/2014 - 13/24 - 6.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8. Les diminutions de la capacité de gain que l’assuré pourrait empêcher en faisant preuve de bonne volonté ne sont pas considérées comme des conséquences d’un état psychique maladif et donc pas comme des affections à prendre en charge par l’assurance-invalidité (art. 7 al. 2 2ème phrase LPGA ; arrêt du Tribunal fédéral 9C_492/2014 du 3 juin 2015 consid. 3.7.1).</w:t>
      </w:r>
    </w:p>
    <w:p>
      <w:r>
        <w:t>A/2729/2014 - 14/24 - L’atteinte à la santé doit faire l’objet d’un diagnostic indiscutable, établi par un médecin spécialiste de la discipline concernée (arrêt du Tribunal fédéral op.cit. consid. 2.1 et 2.1.1 ; ATF 130 V 396 consid. 5.3 et 6). 9. Dans son arrêt 9C_942/2014,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10. 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w:t>
      </w:r>
    </w:p>
    <w:p>
      <w:r>
        <w:t>A/2729/2014 - 15/24 -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11.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12.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w:t>
      </w:r>
    </w:p>
    <w:p>
      <w:r>
        <w:t>A/2729/2014 - 16/24 -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w:t>
      </w:r>
    </w:p>
    <w:p>
      <w:r>
        <w:t>A/2729/2014 - 17/24 -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13.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14. a. En l’occurrence, le recourant a fait l’objet d’une expertise psychiatrique judiciaire. Selon l’expert, il souffre d’une dépendance aux opiacés, aux tranquillisants et au tabac, ainsi que d’une utilisation nocive de cocaïne, d’un épisode dépressif moyen avec syndrome somatique, d’un autre trouble anxieux</w:t>
      </w:r>
    </w:p>
    <w:p>
      <w:r>
        <w:t>A/2729/2014 - 18/24 - mixte, d’un syndrome douloureux somatoforme persistant et de troubles mixtes de la personnalité. L’incapacité de travail est essentiellement provoquée par le trouble dépressif, lequel est toutefois renforcé par les autres pathologies. Ce trouble s’est installé depuis mars 2010, en suivant l’expertise de la CRR. Quant à la toxicomanie, son éclosion a été favorisée par la fragilité pathologique de la personnalité et l’anxiété sociale. Il n’est pas exigible que le recourant renonce à la consommation de drogues. Un arrêt de ces substances pourrait certes améliorer temporairement l’estime de soi, mais entraînerait le risque d’une décompensation anxieuse voire psychotique, ce qui pourrait conduire secondairement à une rechute dépressive. Le trouble dépressif n’est devenu significatif que tardivement, soit après vingt ans de toxicomanie, de sorte que son intrication avec celle-ci est moins évidente. Les ressources du recourant pour surmonter le trouble somatoforme douloureux sont limitées par la présence des pathologies associées (dépression et anxiété) et l’incapacité de gérer le stress (trouble de la personnalité). Le cumul des diverses pathologies constatées peut être considéré comme une comorbidité relativement sévère. À cela s’ajoute que l’insertion sociale est médiocre et que les douleurs sans substrat organique existent depuis plus de dix ans sans grand changement, en dépit des traitements appliqués lege artis. L’état psychique est relativement cristallisé depuis plusieurs années. Néanmoins, l’expertisé devrait être en mesure de faire les efforts nécessaires pour pouvoir se passer progressivement de béquilles et récupérer une meilleure capacité de déplacement. En tenant compte du trouble somatoforme douloureux, la capacité de travail n’est que de 40 %. Cette expertise a été rendue en pleine connaissance du dossier médical, repose sur un examen approfondi, prend en compte les plaintes du recourant et contient des conclusions motivées. Cela étant, elle remplit en principe les critères pour lui reconnaître une pleine valeur probante. b. Le SMR reproche à l’expert judiciaire de ne pas avoir tenu compte du rôle de la toxicomanie dans le déclenchement et l’entretien des troubles psychiatriques constatés, ainsi que de leur réversibilité potentielle en cas d’arrêt de la consommation de toxiques, tout en admettant qu’il n’est pas exigible que le recourant s’abstienne de toute consommation de drogues, après vingt années de toxicomanie et l’échec des diverses prises en charge. En premier lieu, il convient de relever que, selon l’expert psychiatre de la CRR, le syndrome de dépendance aux diverses drogues n’a que peu de répercussion sur la capacité de travail. Cela est également confirmé par le Dr Q______, selon lequel l’élément principal incapacitant est le trouble dépressif, même s’il est renforcé par les autres pathologies, dont notamment la toxicomanie. Cette conclusion est corroborée par l’anamnèse. En effet, jusqu’en 2002, à savoir l'accident du recourant provoquant une entorse du pied droit, celui-ci pouvait encore travailler. Entre octobre 2008 et janvier 2009, il a pu effectuer des stages aux EPI et dans deux entreprises, lesquels ont démontré des aptitudes du recourant compatibles avec un emploi ouvrier aux EPI et dans ces entreprises. Les conclusions du rapport du 26</w:t>
      </w:r>
    </w:p>
    <w:p>
      <w:r>
        <w:t>A/2729/2014 - 19/24 - janvier 2009 des EPI sont très positives, le recourant ayant montré de l’intérêt, étant minutieux et travaillant avec sérieux. Ainsi, en dépit de sa toxicomanie, il sied de constater que le recourant pouvait encore travailler en tout cas jusqu’au début de l’année 2009, de sorte que la cause de son incapacité de travail est à chercher non pas dans sa dépendance, mais dans d’autres facteurs. De surcroît, un trouble dépressif n’a pas été diagnostiqué précédemment. Cela étant, la question de savoir si la toxicomanie est en l'occurrence la conséquence d’une atteinte psychiatrique ayant valeur de maladie peut rester ouverte. En ce qui concerne la réversibilité potentielle de la symptomatologie dépressive en cas d’arrêt de la consommation des toxiques, l'expert explique que l’effet que l’on pourrait attendre de l’abstinence sur les autres pathologies psychiques ne paraît pas prévisible, et qu'il est au contraire probable que les pathologies qui ont favorisé la toxicomanie s’aggraveraient, puisque n’étant plus « compensées » par la prise de substances. Certes, il n’est pas exclu, en cas d'abstinence, que la dépression s’améliore temporairement par la récupération d’une certaine estime de soi, mais l’expert juge plus probable un risque de décompensation anxieuse voire psychotique, ce qui pourrait secondairement conduire à une rechute dépressive. C'est donc à tort que le médecin du SMR lui reproche de ne pas s'être prononcé sur la réversibilité potentielle des troubles en cas d'arrêt des drogues. De la réponse de l'expert judiciaire résulte en outre de façon convaincante que l'abstinence ne permettrait probablement pas d'améliorer les troubles psychiques, sous réserve d'une amélioration temporaire de la thymie. Il ne peut ainsi être retenu qu’au degré de la vraisemblance prépondérante, les troubles psychiques sont réversibles dans cette hypothèse. c. Le SMR conteste ensuite le diagnostic d’épisode dépressif moyen avec syndrome somatique. Cependant, comme le relève à juste titre l’expert judiciaire, le SMR se contredit, dès lors qu'il admet implicitement ce diagnostic en affirmant qu'il est secondaire au trouble somatoforme douloureux. Par ailleurs, un trouble dépressif a été constaté non seulement par l’expert psychiatre de la CRR, mais également par l’expert judiciaire. L’essentiel d’un tel diagnostic repose au demeurant toujours sur les données livrées par l’expertisé, de sorte qu’il ne saurait être reproché aux experts de s’être fondés sur celles-ci, lesquelles sont par définition subjectives. Néanmoins, l'expert judiciaire met également en avant des constatations objectives pour étayer ce diagnostic. Ainsi, il relève que la tristesse du recourant est visible et qu'il pleure lorsqu'il évoque le viol subi à l'âge de sept ans par son frère ainé. La fatigue est perceptible et il est probable que le recourant présente un ralentissement intellectuel. La voix est plutôt traînante et monotone. La fluidité idéique n'est pas très vive. Quant au trouble de l’adaptation diagnostiqué initialement en septembre 2011 par le Dr E______ et Mme J______ de la Fondation Phénix, il convient de relever qu’un tel diagnostic implique des symptômes dans le registre émotionnel et</w:t>
      </w:r>
    </w:p>
    <w:p>
      <w:r>
        <w:t>A/2729/2014 - 20/24 - comportementaux, tel que l’humeur dépressive et/ou l’anxiété notamment (cf. DSM IV p. 737), de sorte qu’il n’est pas incompatible avec un trouble dépressif diagnostiqué par la suite, soit lorsque les troubles de l’humeur ont persisté pendant plus de six mois après le facteur de stress. Au demeurant, les soignants de la Fondation Phénix attestent dans leur certificat médical du 30 avril 2014 un état dépressif moyen à sévère et que l’état est stationnaire depuis 2010. Au vu de ces avis médicaux concordants, la chambre de céans est convaincue par le diagnostic de trouble dépressif émis par l'expert psychiatre de la CRR et le Dr Q______, ainsi que les médecins traitants, d’autant plus que le SMR n’a pas fait état d’éléments médicaux qui auraient été ignorés par ceux-ci. d. En ce qui concerne le diagnostic de trouble somatoforme douloureux persistant, le SMR admet ce diagnostic, tout en relevant qu’il convient d’analyser le caractère invalidant de ce trouble à la lumière de la jurisprudence en la matière et qu'en l'occurrence cette jurisprudence ne permet pas de le reconnaître. Comme indiqué ci-dessus, selon la nouvelle jurisprudence de notre Haute Cour, il s'agit dorénavant d’évaluer le caractère surmontable et partant invalidant d’un tel trouble sur la base de différents indicateurs, lesquels se recoupent en partie avec les anciens critères. En ce qui concerne en premier lieu le degré de gravité fonctionnelle, il convient de considérer que le handicap du recourant au niveau de la cheville est considérable, dans la mesure où il souffre d’importantes douleurs qui le handicapent pour la marche et l’incitent à se déplacer avec deux béquilles, plus de dix ans après l’accident survenu en 2002. Depuis son accident, il n'a pas arrêté de consulter des médecins pour les séquelles de cet évènement et s'est soumis à une intervention chirurgicale en 2007. Il sied ainsi de constater une chronicisation de l’état de la cheville, après l'épuisement de toutes les possibilités de traitements. Les mesures de réadaptation et d’intégration initiées à partir de 2008 ont également échoué, malgré la motivation du recourant, comme cela résulte des rapports y relatifs. La gravité de l'évolution du trouble somatoforme douloureux est aussi rendue plausible par la présence de traumatismes importants dans l'enfance qui sont encore aujourd'hui bien présents, comme le prouve le fait que le recourant pleure devant l'expert judiciaire en évoquant le viol par son frère. À cela s’ajoute plusieurs comorbidités psychiatriques et somatiques qui diminuent les ressources du recourant. En effet, depuis son accident, le recourant souffre de douleurs et rencontre des difficultés dans ses déplacements, de sorte qu’il ne pourrait désormais exercer qu’une activité sédentaire ou semi-sédentaire, permettant des changements de position, selon le rapport du 24 mai 2011 du Dr I______ de la SUVA. Par ailleurs, cette assurance lui a octroyé une indemnité pour atteinte à l’intégrité de 7,5 %. Certes, une partie des douleurs et des limitations fonctionnelles est dépourvue d'un substrat organique. Il n'empêche qu'une atteinte à l'intégrité subsiste et que certaines douleurs peuvent être mises en relation avec les</w:t>
      </w:r>
    </w:p>
    <w:p>
      <w:r>
        <w:t>A/2729/2014 - 21/24 - séquelles objectivables de l'accident. Le recourant est également atteint d’un trouble dépressif majeur, épisode actuellement moyen, selon les experts et médecins traitants. Selon la nouvelle jurisprudence de notre Haute Cour, ce diagnostic ne peut pas être écarté du seul fait qu’il doit être considéré comme faisant partie intégrante du trouble somatoforme douloureux. Enfin, l’expert judiciaire a aussi retenu un trouble anxieux mixte. Quant à la structure de la personnalité, le recourant présente des troubles mixtes de la personnalité, selon l'expert judiciaire. Certes, en accord avec le SMR, il ne peut être considéré que ces troubles soient en l'espèce totalement décompensés. Ils n’ont pas non plus empêché le recourant de travailler auparavant. Néanmoins, ils affaiblissent les ressources du recourant pour surmonter le trouble somatoforme douloureux. À cet égard, il est à relever que la chambre de céans est convaincue par ce diagnostic au vu des explications détaillées de l’expert judiciaire, lequel a notamment relevé les carences affectives et la violence qui ont marqué l’enfance, la faible estime de soi se traduisant par des difficultés majeures à aller vers l’autre et à construire des relations sentimentales durables, ainsi qu’une immaturité psychologique se manifestant par une incapacité de gérer l’argent, ce qui a rendu nécessaire une mesure de curatelle. À cela s’ajoute un comportement d’évitement des contacts sociaux et une dépendance aux substances toxiques. Des traits d’un trouble de la personnalité ont du reste également été mis en évidence par les soignants de la Fondation Phénix, dans leur certificat médical du 30 avril 2014. Le recourant ne peut pas non plus tirer un soutien de son environnement, si ce n’est d’un de ses frères et de la femme de celui-ci. Pour l’essentiel, le recourant présente un retrait social important, vivant la majeure partie du temps de façon recluse dans son appartement. Il convient de constater en outre qu’il n’y a pas d’élément discordant dans le comportement du recourant ni une exagération, selon l'expert judiciaire. Les limitations fonctionnelles se manifestent dans tous les domaines de la vie, étant constaté que le recourant n’a plus d’intérêt ni de loisir à proprement parlé. Il est tout autant handicapé à la maison par ses béquilles qu'à l'extérieur, celles-ci l’empêchant notamment de cuisiner. Le retrait social est important, le recourant ne voyant plus ses quelques amis, par manque d’envie (p. 9 expertise judiciaire). Il n’appert pas non plus que le recourant aurait refusé des traitements recommandés et exigibles, étant régulièrement suivi pour ses problèmes à la cheville depuis la survenue de l'accident. En 2008 et 2009, il a fait un important effort de réadaptation professionnelle dans le cadre des stages aux EPI et dans les entreprises, même s’il a été par la suite découragé par l’aggravation de l’état de sa cheville. Certes les analyses lors de l'expertise judiciaire ont montré des dosages infra-thérapeutiques du traitement médicamenteux antidépresseur. Toutefois, comme le souligne de Dr Q______, bien que le dosage contrôlé en septembre 2014 montrât un taux situé dans la zone thérapeutique, le recourant n'allait pas mieux pour autant.</w:t>
      </w:r>
    </w:p>
    <w:p>
      <w:r>
        <w:t>A/2729/2014 - 22/24 - À la lecture de l’expertise judiciaire, il sied de constater que l’expert judiciaire a déjà pris en compte tous les critères résultant de la nouvelle jurisprudence du Tribunal fédéral pour évaluer le caractère invalidant du trouble somatoforme. Cela étant, la chambre de céans est convaincue par sa conclusion d’une incapacité de travail supplémentaire résultant du trouble somatoforme douloureux de 10 %. De ce fait, il n'est pas nécessaire de procéder à un complément d'expertise. 15. Quant au moment de l’aggravation, il peut être constaté qu’elle est en tout cas postérieure à janvier 2009, dès lors que le recourant était encore en mesure auparavant de participer à une orientation professionnelle et à des stages en entreprises, sans être diminué sur le plan psychiatrique. Selon l’expert psychiatre de la CRR, le trouble dépressif s’est développé depuis mars 2010, soit lors de la reprise des investigations concernant la cheville. Dans le courrier du 26 mai 2010 du Dr D______, il est effectivement fait état d'une aggravation au niveau somatique, dès lors que ce médecin constate une cheville tuméfiée avec une mobilité réduite. Le recourant se plaignait de la récidive des douleurs depuis un stage dans une lingerie en février 2010. Le Dr C______ propose alors au recourant de poursuivre le traitement conservateur avec cannes en décharge partielle. Ainsi, la conclusion de l’expert judiciaire, selon laquelle le début du trouble dépressif doit être fixé à mars 2010 est convaincante. Il s'agit donc d'une aggravation nettement postérieure à la décision de refus de prestation du 2 mai 2008, ce qui justifie la révision de celle-ci. 16. a. Partant, une incapacité de travail de 60 % doit être admise, ce qui ouvre le droit à un trois-quarts de rente. Il est à relever à cet égard que, même en admettant une réduction des salaires statistiques de 10 % dans le cadre de la comparaison des salaires, pour tenir compte des handicaps et de la réduction de la capacité résiduelle de travail (cf. ATF 126 V 75 consid. 5b/aa-cc), la perte de gain ne serait que de 64% et ne donnerait pas le droit à une rente supérieure. 17. 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En l'espèce, le recourant a déposé sa nouvelle demande en septembre 2010. En admettant le développement d'un trouble dépressif et d'un trouble somatoforme persistant invalidants depuis mars 2010, le droit à la rente est né en mars 2011. Cette date coïncide avec l'échéance de la période d'attente de six mois depuis le dépôt de la demande en septembre 2010. 18. Au vu de ce qui précède, le recours sera admis, la décision annulée et le recourant mis au bénéfice d’un trois-quarts rente depuis mars 2011. 19. L’intimé qui succombe sera condamné à un émolument de justice de CHF 500.-.</w:t>
      </w:r>
    </w:p>
    <w:p>
      <w:r>
        <w:t>A/2729/2014 - 23/24 -</w:t>
      </w:r>
    </w:p>
    <w:p>
      <w:r>
        <w:t>***</w:t>
      </w:r>
    </w:p>
    <w:p>
      <w:r>
        <w:t>A/2729/2014 - 24/24 -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