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ATAS/682/2024 vom 6. September 2024</w:t>
      </w:r>
    </w:p>
    <w:p>
      <w:r>
        <w:t>GE Cour de justice, 2024-09-06, FR</w:t>
      </w:r>
    </w:p>
    <w:p>
      <w:r>
        <w:rPr>
          <w:b/>
        </w:rPr>
        <w:t xml:space="preserve">Quelle: </w:t>
      </w:r>
      <w:r>
        <w:t>https://mcp.opencaselaw.ch/entscheid/ge_gerichte_ATAS_682_2024</w:t>
      </w:r>
    </w:p>
    <w:p>
      <w:r>
        <w:t>FR: GE_GERICHTE ATAS/682/2024 du 6 septembre 2024</w:t>
      </w:r>
    </w:p>
    <w:p>
      <w:r>
        <w:t>IT: GE_GERICHTE ATAS/682/2024 del 6 settembre 2024</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w:t>
      </w:r>
    </w:p>
    <w:p>
      <w:r>
        <w:t>A/199/2024 4/6 professionnelle en cas de divorce, la chambre de céans applique les dispositions légales dans leur ancienne teneur (art. 7d Tit. fin. CC).</w:t>
      </w:r>
    </w:p>
    <w:p>
      <w:r>
        <w:rPr>
          <w:b/>
        </w:rPr>
        <w:t>E. 2</w:t>
      </w:r>
    </w:p>
    <w:p>
      <w:r>
        <w:t>L'art. 25a LFLP règle la procédure en cas de divorce. Selon son al. 1, en cas de désaccord des conjoints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LFLP, en cas de divorce, les prestations de sortie acquises durant le mariage sont partagées conformément aux art. 122 et 123 CC et aux art. 280 et 281 CPC;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Les paiements en espèces effectués durant le mariage ne sont pas pris en compte (al. 2). Ces versements doivent être compensés dans le cadre du jugement de divorce (art. 124 CC ; ATF 132 V 332 consid. 3).</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1% de 2017 à 2023 et 1.25% dès le 1er janvier 2024.</w:t>
      </w:r>
    </w:p>
    <w:p>
      <w:r>
        <w:rPr>
          <w:b/>
        </w:rPr>
        <w:t>E. 5</w:t>
      </w:r>
    </w:p>
    <w:p>
      <w:r>
        <w:t>En l’espèce, le juge de première instance a ordonné le partage par moitié des prestations de sortie acquises durant le mariage par les demandeurs. Les dates pertinentes sont, d’une part, le 1er juillet 2011, date du mariage, d’autre part le</w:t>
      </w:r>
    </w:p>
    <w:p>
      <w:r>
        <w:rPr>
          <w:b/>
        </w:rPr>
        <w:t>E. 9</w:t>
      </w:r>
    </w:p>
    <w:p>
      <w:r>
        <w:t>juillet 2021, date du dépôt de la demande en divorce. 6. En l’espèce, selon les documents produits, la prestation acquise pendant le mariage par le demandeur est de CHF 77'562.80 (82'344.70 – 4'781.90). En effet, du montant de l’avoir final, il convient de déduire celui de CHF 4'191.15 (1'343.65 + 1'929.- + 918.50) accumulé au moment du mariage, augmenté des intérêts ayant couru jusqu’au moment du dépôt de la demande en divorce, soit un montant de</w:t>
      </w:r>
    </w:p>
    <w:p>
      <w:r>
        <w:t>A/199/2024 5/6 CHF 4'781.90. La demanderesse, pour sa part, n’a plus d’avoir à partager (puisque celui qu’elle avait accumulé a été retiré en août 2018, lorsqu’elle s’est mise à son compte). Ainsi, le demandeur doit à son ex-épouse le montant de CHF 38'781.40 (77'562.80 : 2).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8. Aucun émolument ne sera perçu, la procédure étant gratuite (art. 73 al. 2 LPP et 89H al. 1 de la loi sur la procédure administrative du 12 septembre 1985 (LPA-GE - E 5 10).</w:t>
      </w:r>
    </w:p>
    <w:p>
      <w:r>
        <w:t>***</w:t>
      </w:r>
    </w:p>
    <w:p>
      <w:r>
        <w:t>A/199/2024 6/6</w:t>
      </w:r>
    </w:p>
    <w:p>
      <w:r>
        <w:t>PAR CES MOTIFS, LA CHAMBRE DES ASSURANCES SOCIALES : 1. Invite la CPEG à transférer, du compte de Monsieur A______, AVS n°1______, la somme de CHF 38'781.40, ainsi que des intérêts compensatoires au sens des considérants, dès le 10 juillet 2021 jusqu'au moment du transfert, sur un compte à ouvrir en faveur de Madame B______, née C______, AVS n°2______, auprès de la Fondation institution supplétive.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